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вселении в жилое помещение и обязании не чинить препятствий в пользовании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вселении в жилое помещение и обязании не чинить препятствий в пользовании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во вселении, суды не применили статью 304 ГК РФ и часть 4 статьи 3 ЖК РФ: истец имеет право пользования помещением [как сособственник / наниматель / член семьи], а ответчики препятствуют его проживанию (части 1 и 2 статьи 379.7 ГПК РФ).</w:t>
      </w:r>
    </w:p>
    <w:p>
      <w:pPr>
        <w:spacing w:after="120" w:line="276" w:lineRule="auto"/>
        <w:ind w:firstLine="709"/>
        <w:jc w:val="both"/>
      </w:pPr>
      <w:r>
        <w:rPr>
          <w:rFonts w:ascii="Times New Roman" w:hAnsi="Times New Roman"/>
          <w:b/>
          <w:i w:val="0"/>
          <w:sz w:val="24"/>
        </w:rPr>
        <w:t>Право истца на пользование жилым помещением.</w:t>
      </w:r>
      <w:r>
        <w:rPr>
          <w:rFonts w:ascii="Times New Roman" w:hAnsi="Times New Roman"/>
          <w:b w:val="0"/>
          <w:i w:val="0"/>
          <w:sz w:val="24"/>
        </w:rPr>
        <w:t xml:space="preserve"> [Для сособственника:] Пунктом 1 статьи 209 ГК РФ установлено: «Собственнику принадлежат права владения, пользования и распоряжения своим имуществом.» Пунктом 1 статьи 247 ГК РФ предусмотрено: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Пунктом 2 той же статьи: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 [Для нанимателя и членов его семьи:] Частью 2 статьи 69 ЖК РФ определено: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pPr>
        <w:spacing w:after="120" w:line="276" w:lineRule="auto"/>
        <w:ind w:firstLine="709"/>
        <w:jc w:val="both"/>
      </w:pPr>
      <w:r>
        <w:rPr>
          <w:rFonts w:ascii="Times New Roman" w:hAnsi="Times New Roman"/>
          <w:b/>
          <w:i w:val="0"/>
          <w:sz w:val="24"/>
        </w:rPr>
        <w:t>Никто не может быть ограничен в праве пользования жилищем.</w:t>
      </w:r>
      <w:r>
        <w:rPr>
          <w:rFonts w:ascii="Times New Roman" w:hAnsi="Times New Roman"/>
          <w:b w:val="0"/>
          <w:i w:val="0"/>
          <w:sz w:val="24"/>
        </w:rPr>
        <w:t xml:space="preserve"> Частью 4 статьи 3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Частью 2 той же статьи: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pPr>
        <w:spacing w:after="120" w:line="276" w:lineRule="auto"/>
        <w:ind w:firstLine="709"/>
        <w:jc w:val="both"/>
      </w:pPr>
      <w:r>
        <w:rPr>
          <w:rFonts w:ascii="Times New Roman" w:hAnsi="Times New Roman"/>
          <w:b/>
          <w:i w:val="0"/>
          <w:sz w:val="24"/>
        </w:rPr>
        <w:t>Устранение препятствий.</w:t>
      </w:r>
      <w:r>
        <w:rPr>
          <w:rFonts w:ascii="Times New Roman" w:hAnsi="Times New Roman"/>
          <w:b w:val="0"/>
          <w:i w:val="0"/>
          <w:sz w:val="24"/>
        </w:rPr>
        <w:t xml:space="preserve"> Статьёй 304 ГК РФ предусмотрено: «Собственник может требовать устранения всяких нарушений его права, хотя бы эти нарушения и не были соединены с лишением владения.» Статьёй 305 ГК РФ это право предоставлено и законному владельцу, не являющемуся собственником: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Пунктом 3 статьи 292 ГК РФ установлено: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pPr>
        <w:spacing w:after="120" w:line="276" w:lineRule="auto"/>
        <w:ind w:firstLine="709"/>
        <w:jc w:val="both"/>
      </w:pPr>
      <w:r>
        <w:rPr>
          <w:rFonts w:ascii="Times New Roman" w:hAnsi="Times New Roman"/>
          <w:b/>
          <w:i w:val="0"/>
          <w:sz w:val="24"/>
        </w:rPr>
        <w:t>Временное отсутствие не лишает права.</w:t>
      </w:r>
      <w:r>
        <w:rPr>
          <w:rFonts w:ascii="Times New Roman" w:hAnsi="Times New Roman"/>
          <w:b w:val="0"/>
          <w:i w:val="0"/>
          <w:sz w:val="24"/>
        </w:rPr>
        <w:t xml:space="preserve"> [Для социального найма:] Статьёй 71 ЖК РФ предусмотрено: «Временное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247, 288, 304 ГК РФ, статьями 3, 71 ЖК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