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абонент: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абонентской плате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абонентской плате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429.4 ГК РФ: абонентская плата вносится независимо от того, было ли затребовано исполнение, а заказчик не отказался от договора в установленном порядке (части 1 и 2 статьи 288 АПК РФ).</w:t>
      </w:r>
    </w:p>
    <w:p>
      <w:pPr>
        <w:spacing w:after="120" w:line="276" w:lineRule="auto"/>
        <w:ind w:firstLine="709"/>
        <w:jc w:val="both"/>
      </w:pPr>
      <w:r>
        <w:rPr>
          <w:rFonts w:ascii="Times New Roman" w:hAnsi="Times New Roman"/>
          <w:b/>
          <w:i w:val="0"/>
          <w:sz w:val="24"/>
        </w:rPr>
        <w:t>Абонентский договор.</w:t>
      </w:r>
      <w:r>
        <w:rPr>
          <w:rFonts w:ascii="Times New Roman" w:hAnsi="Times New Roman"/>
          <w:b w:val="0"/>
          <w:i w:val="0"/>
          <w:sz w:val="24"/>
        </w:rPr>
        <w:t xml:space="preserve"> Пунктом 1 статьи 429.4 Гражданского кодекса Российской Федерации (далее — ГК РФ) установлено: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Условия Договора (фиксированная ежемесячная плата за право требовать услуги в пределах согласованного объёма) соответствуют этому определению.</w:t>
      </w:r>
    </w:p>
    <w:p>
      <w:pPr>
        <w:spacing w:after="120" w:line="276" w:lineRule="auto"/>
        <w:ind w:firstLine="709"/>
        <w:jc w:val="both"/>
      </w:pPr>
      <w:r>
        <w:rPr>
          <w:rFonts w:ascii="Times New Roman" w:hAnsi="Times New Roman"/>
          <w:b/>
          <w:i w:val="0"/>
          <w:sz w:val="24"/>
        </w:rPr>
        <w:t>Плата вносится независимо от использования.</w:t>
      </w:r>
      <w:r>
        <w:rPr>
          <w:rFonts w:ascii="Times New Roman" w:hAnsi="Times New Roman"/>
          <w:b w:val="0"/>
          <w:i w:val="0"/>
          <w:sz w:val="24"/>
        </w:rPr>
        <w:t xml:space="preserve"> Согласно пункту 2 статьи 429.4 ГК РФ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 Договор не предусматривает иного. Плата по абонентскому договору — это вознаграждение за поддержание исполнителем постоянной готовности, которое он обеспечивал в течение всего периода.</w:t>
      </w:r>
    </w:p>
    <w:p>
      <w:pPr>
        <w:spacing w:after="120" w:line="276" w:lineRule="auto"/>
        <w:ind w:firstLine="709"/>
        <w:jc w:val="both"/>
      </w:pPr>
      <w:r>
        <w:rPr>
          <w:rFonts w:ascii="Times New Roman" w:hAnsi="Times New Roman"/>
          <w:b/>
          <w:i w:val="0"/>
          <w:sz w:val="24"/>
        </w:rPr>
        <w:t>Договор оказания услуг.</w:t>
      </w:r>
      <w:r>
        <w:rPr>
          <w:rFonts w:ascii="Times New Roman" w:hAnsi="Times New Roman"/>
          <w:b w:val="0"/>
          <w:i w:val="0"/>
          <w:sz w:val="24"/>
        </w:rPr>
        <w:t xml:space="preserve"> К отношениям сторон применяются также правила о возмездном оказании услуг. 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w:t>
      </w:r>
    </w:p>
    <w:p>
      <w:pPr>
        <w:spacing w:after="120" w:line="276" w:lineRule="auto"/>
        <w:ind w:firstLine="709"/>
        <w:jc w:val="both"/>
      </w:pPr>
      <w:r>
        <w:rPr>
          <w:rFonts w:ascii="Times New Roman" w:hAnsi="Times New Roman"/>
          <w:b/>
          <w:i w:val="0"/>
          <w:sz w:val="24"/>
        </w:rPr>
        <w:t>Отказ от договора действует на будущее.</w:t>
      </w:r>
      <w:r>
        <w:rPr>
          <w:rFonts w:ascii="Times New Roman" w:hAnsi="Times New Roman"/>
          <w:b w:val="0"/>
          <w:i w:val="0"/>
          <w:sz w:val="24"/>
        </w:rPr>
        <w:t xml:space="preserve"> [Если абонент отказался:]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Отказ ответчика не освобождает его от платы за период до прекращения Договора.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429.4, 779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