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поставщик (подрядчик, исполнитель)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задолженности и неустойки по договору, заключённому по результатам закупки по Закону № 223-ФЗ</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задолженности и неустойки по договору, заключённому по результатам закупки по Закону № 223-ФЗ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309, 486 и 711 ГК РФ: обязательства исполнены и приняты заказчиком, а срок оплаты по договору истёк (части 1 и 2 статьи 288 АПК РФ).</w:t>
      </w:r>
    </w:p>
    <w:p>
      <w:pPr>
        <w:spacing w:after="120" w:line="276" w:lineRule="auto"/>
        <w:ind w:firstLine="709"/>
        <w:jc w:val="both"/>
      </w:pPr>
      <w:r>
        <w:rPr>
          <w:rFonts w:ascii="Times New Roman" w:hAnsi="Times New Roman"/>
          <w:b/>
          <w:i w:val="0"/>
          <w:sz w:val="24"/>
        </w:rPr>
        <w:t>Договор по результатам закупки.</w:t>
      </w:r>
      <w:r>
        <w:rPr>
          <w:rFonts w:ascii="Times New Roman" w:hAnsi="Times New Roman"/>
          <w:b w:val="0"/>
          <w:i w:val="0"/>
          <w:sz w:val="24"/>
        </w:rPr>
        <w:t xml:space="preserve"> Отношения сторон регулируются Гражданским кодексом Российской Федерации (далее — ГК РФ) с учётом Федерального закона от 18.07.2011 № 223-ФЗ «О закупках товаров, работ, услуг отдельными видами юридических лиц» (далее — Закон № 223-ФЗ). [Для поставки:] Статьёй 506 ГК РФ установлено: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[Для работ:] Пунктом 1 статьи 702 ГК РФ предусмотрено: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pPr>
        <w:spacing w:after="120" w:line="276" w:lineRule="auto"/>
        <w:ind w:firstLine="709"/>
        <w:jc w:val="both"/>
      </w:pPr>
      <w:r>
        <w:rPr>
          <w:rFonts w:ascii="Times New Roman" w:hAnsi="Times New Roman"/>
          <w:b/>
          <w:i w:val="0"/>
          <w:sz w:val="24"/>
        </w:rPr>
        <w:t>Срок оплаты.</w:t>
      </w:r>
      <w:r>
        <w:rPr>
          <w:rFonts w:ascii="Times New Roman" w:hAnsi="Times New Roman"/>
          <w:b w:val="0"/>
          <w:i w:val="0"/>
          <w:sz w:val="24"/>
        </w:rPr>
        <w:t xml:space="preserve"> Частью 5.3 статьи 3 Закона № 223-ФЗ установлено: «Срок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также если иной срок оплаты установлен заказчиком в положении о закупке.» [Если Договор предусматривает больший срок при закупке у субъекта МСП, это условие противоречит закону, и срок оплаты определяется по закону / положению о закупке.]</w:t>
      </w:r>
    </w:p>
    <w:p>
      <w:pPr>
        <w:spacing w:after="120" w:line="276" w:lineRule="auto"/>
        <w:ind w:firstLine="709"/>
        <w:jc w:val="both"/>
      </w:pPr>
      <w:r>
        <w:rPr>
          <w:rFonts w:ascii="Times New Roman" w:hAnsi="Times New Roman"/>
          <w:b/>
          <w:i w:val="0"/>
          <w:sz w:val="24"/>
        </w:rPr>
        <w:t>Обязанность оплатить.</w:t>
      </w:r>
      <w:r>
        <w:rPr>
          <w:rFonts w:ascii="Times New Roman" w:hAnsi="Times New Roman"/>
          <w:b w:val="0"/>
          <w:i w:val="0"/>
          <w:sz w:val="24"/>
        </w:rPr>
        <w:t xml:space="preserve"> [Поставка:] Пунктом 1 статьи 516 ГК РФ предусмотрено: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[Работы:] Пунктом 1 статьи 711 ГК РФ установлено: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[__] Договора установлена неустойка заказчика [в размере 1/300 ключевой ставки / [__] %] за каждый день просрочки оплаты. Согласно пункту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[Если неустойки нет — проценты по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Ответственность предпринимателя.</w:t>
      </w:r>
      <w:r>
        <w:rPr>
          <w:rFonts w:ascii="Times New Roman" w:hAnsi="Times New Roman"/>
          <w:b w:val="0"/>
          <w:i w:val="0"/>
          <w:sz w:val="24"/>
        </w:rPr>
        <w:t xml:space="preserve">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330, 486, 711 ГК РФ, статьёй 3 Федерального закона № 223-ФЗ,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