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поставщик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покупатель: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солидарном взыскании задолженности по договору поставки и неустойки с покупателя и поручителя</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солидарном взыскании задолженности по договору поставки и неустойки с покупателя и поручителя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к поручителю, суды неправильно применили статьи 361, 363 и 367 ГК РФ: поручительство не прекратилось, а поручитель отвечает солидарно с покупателем в том же объёме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Обязанность покупателя оплатить товар.</w:t>
      </w:r>
      <w:r>
        <w:rPr>
          <w:rFonts w:ascii="Times New Roman" w:hAnsi="Times New Roman"/>
          <w:b w:val="0"/>
          <w:i w:val="0"/>
          <w:sz w:val="24"/>
        </w:rPr>
        <w:t xml:space="preserve"> Пунктом 1 статьи 516 ГК РФ предусмотрено: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Согласно пункту 3 статьи 486 ГК РФ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Размер неустойки за период с «[дата]» по «[дата]» составляет [сумма] рублей (расчёт прилагается).</w:t>
      </w:r>
    </w:p>
    <w:p>
      <w:pPr>
        <w:spacing w:after="120" w:line="276" w:lineRule="auto"/>
        <w:ind w:firstLine="709"/>
        <w:jc w:val="both"/>
      </w:pPr>
      <w:r>
        <w:rPr>
          <w:rFonts w:ascii="Times New Roman" w:hAnsi="Times New Roman"/>
          <w:b/>
          <w:i w:val="0"/>
          <w:sz w:val="24"/>
        </w:rPr>
        <w:t>Поручительство.</w:t>
      </w:r>
      <w:r>
        <w:rPr>
          <w:rFonts w:ascii="Times New Roman" w:hAnsi="Times New Roman"/>
          <w:b w:val="0"/>
          <w:i w:val="0"/>
          <w:sz w:val="24"/>
        </w:rPr>
        <w:t xml:space="preserve"> Пунктом 1 статьи 361 ГК РФ установлено: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 Согласно пункту 1 статьи 363 ГК РФ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поручителя.» Пунктом 2 той же статьи предусмотрено: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pPr>
        <w:spacing w:after="120" w:line="276" w:lineRule="auto"/>
        <w:ind w:firstLine="709"/>
        <w:jc w:val="both"/>
      </w:pPr>
      <w:r>
        <w:rPr>
          <w:rFonts w:ascii="Times New Roman" w:hAnsi="Times New Roman"/>
          <w:b/>
          <w:i w:val="0"/>
          <w:sz w:val="24"/>
        </w:rPr>
        <w:t>Солидарная ответственность.</w:t>
      </w:r>
      <w:r>
        <w:rPr>
          <w:rFonts w:ascii="Times New Roman" w:hAnsi="Times New Roman"/>
          <w:b w:val="0"/>
          <w:i w:val="0"/>
          <w:sz w:val="24"/>
        </w:rPr>
        <w:t xml:space="preserve"> Пунктом 1 статьи 322 ГК РФ установлено: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неделимости предмета обязательства.» В силу пункта 1 статьи 323 ГК РФ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 Договор поручительства субсидиарной ответственности поручителя не предусматривает.</w:t>
      </w:r>
    </w:p>
    <w:p>
      <w:pPr>
        <w:spacing w:after="120" w:line="276" w:lineRule="auto"/>
        <w:ind w:firstLine="709"/>
        <w:jc w:val="both"/>
      </w:pPr>
      <w:r>
        <w:rPr>
          <w:rFonts w:ascii="Times New Roman" w:hAnsi="Times New Roman"/>
          <w:b/>
          <w:i w:val="0"/>
          <w:sz w:val="24"/>
        </w:rPr>
        <w:t>Поручительство не прекращено.</w:t>
      </w:r>
      <w:r>
        <w:rPr>
          <w:rFonts w:ascii="Times New Roman" w:hAnsi="Times New Roman"/>
          <w:b w:val="0"/>
          <w:i w:val="0"/>
          <w:sz w:val="24"/>
        </w:rPr>
        <w:t xml:space="preserve"> Согласно пункту 6 статьи 367 ГК РФ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 [Срок поручительства, установленный пунктом [__] Договора поручительства, истекает «[дата]» / Иск к поручителю предъявлен в течение года со дня наступления срока оплаты — «[дата]».] Обязательство покупателя не изменялось, перевод долга не производился.</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361, 363, 367, 486, 516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