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организация водопроводно-канализационного хозяйства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абонент: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за холодное водоснабжение и водоотведение и пеней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за холодное водоснабжение, водоотведение и пеней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539, 544 и 548 ГК РФ и статьи 13, 14 Закона о водоснабжении: вода подана и стоки приняты, а объём подтверждён учётом (части 1 и 2 статьи 288 АПК РФ).</w:t>
      </w:r>
    </w:p>
    <w:p>
      <w:pPr>
        <w:spacing w:after="120" w:line="276" w:lineRule="auto"/>
        <w:ind w:firstLine="709"/>
        <w:jc w:val="both"/>
      </w:pPr>
      <w:r>
        <w:rPr>
          <w:rFonts w:ascii="Times New Roman" w:hAnsi="Times New Roman"/>
          <w:b w:val="0"/>
          <w:i w:val="0"/>
          <w:sz w:val="24"/>
        </w:rPr>
        <w:t>Статьёй 548 ГК РФ предусмотрено: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Отношения сторон регулируются Федеральным законом от 07.12.2011 № 416-ФЗ «О водоснабжении и водоотведении» (далее — Закон о водоснабжении) и Правилами холодного водоснабжения и водоотведения.</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Пени за воду.</w:t>
      </w:r>
      <w:r>
        <w:rPr>
          <w:rFonts w:ascii="Times New Roman" w:hAnsi="Times New Roman"/>
          <w:b w:val="0"/>
          <w:i w:val="0"/>
          <w:sz w:val="24"/>
        </w:rPr>
        <w:t xml:space="preserve"> Частью 6.2 статьи 13 Закона о водоснабжении установлено: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Пени за водоотведение.</w:t>
      </w:r>
      <w:r>
        <w:rPr>
          <w:rFonts w:ascii="Times New Roman" w:hAnsi="Times New Roman"/>
          <w:b w:val="0"/>
          <w:i w:val="0"/>
          <w:sz w:val="24"/>
        </w:rPr>
        <w:t xml:space="preserve"> Частью 6.2 статьи 14 Закона о водоснабжении предусмотрено: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Пени рассчитаны отдельно по воде и водоотведению за каждый расчётный период [с учётом Постановления Правительства РФ от 18.03.2025 № 329] и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539, 544, 548 ГК РФ, Федеральным законом «О водоснабжении и водоотведении»,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