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суммы гарантийного удержания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суммы гарантийного удержания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329, 381.1 и 711 ГК РФ: срок гарантийного удержания истёк, претензий по качеству не заявлено, поэтому удержанная сумма подлежит выплате (части 1 и 2 статьи 288 АПК РФ).</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Обязанность оплатить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Для строительного подряда пунктом 1 статьи 746 ГК РФ установлено: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ind w:firstLine="709"/>
        <w:jc w:val="both"/>
      </w:pPr>
      <w:r>
        <w:rPr>
          <w:rFonts w:ascii="Times New Roman" w:hAnsi="Times New Roman"/>
          <w:b w:val="0"/>
          <w:i w:val="0"/>
          <w:sz w:val="24"/>
        </w:rPr>
        <w:t>Пунктом 2 статьи 746 ГК РФ установлено: «Договором строительного подряда может быть предусмотрена оплата работ единовременно и в полном объеме после приемки объекта заказчиком.» Стороны воспользовались этим правом, определив, что часть цены в размере гарантийного удержания уплачивается после [наступления указанного обстоятельства].</w:t>
      </w:r>
    </w:p>
    <w:p>
      <w:pPr>
        <w:spacing w:after="120" w:line="276" w:lineRule="auto"/>
        <w:ind w:firstLine="709"/>
        <w:jc w:val="both"/>
      </w:pPr>
      <w:r>
        <w:rPr>
          <w:rFonts w:ascii="Times New Roman" w:hAnsi="Times New Roman"/>
          <w:b/>
          <w:i w:val="0"/>
          <w:sz w:val="24"/>
        </w:rPr>
        <w:t>Природа гарантийного удержания.</w:t>
      </w:r>
      <w:r>
        <w:rPr>
          <w:rFonts w:ascii="Times New Roman" w:hAnsi="Times New Roman"/>
          <w:b w:val="0"/>
          <w:i w:val="0"/>
          <w:sz w:val="24"/>
        </w:rPr>
        <w:t xml:space="preserve"> Удержание является условием о порядке оплаты работ, обусловленным наступлением определённых обстоятельств. Согласно статье 327.1 ГК РФ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[Если Договор квалифицирует удержание как обеспечительный платёж:]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 силу пункта 2 той же статьи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pPr>
        <w:spacing w:after="120" w:line="276" w:lineRule="auto"/>
        <w:ind w:firstLine="709"/>
        <w:jc w:val="both"/>
      </w:pPr>
      <w:r>
        <w:rPr>
          <w:rFonts w:ascii="Times New Roman" w:hAnsi="Times New Roman"/>
          <w:b/>
          <w:i w:val="0"/>
          <w:sz w:val="24"/>
        </w:rPr>
        <w:t>Наступление срока выплаты.</w:t>
      </w:r>
      <w:r>
        <w:rPr>
          <w:rFonts w:ascii="Times New Roman" w:hAnsi="Times New Roman"/>
          <w:b w:val="0"/>
          <w:i w:val="0"/>
          <w:sz w:val="24"/>
        </w:rPr>
        <w:t xml:space="preserve"> Обстоятельство, с которым связана выплата, наступило «[дата]», и основания для дальнейшего удержания отпали. Удержание не было зачтено в счёт каких-либо требований заказчика, поскольку таких требований не возникало. Пунктом 1 статьи 314 ГК РФ предусмотрено: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 [Если Договор предусматривает неустойку за просрочку оплаты, распространяющуюся на удержание, — заявляется неустойка.]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329, 395, 711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