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компенсации за пользование имуществом, приходящимся на долю истца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компенсации за пользование имуществом, приходящимся на долю истца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пункт 2 статьи 247 ГК РФ: ответчик единолично пользуется общим имуществом сверх своей доли, а истец лишён возможности пользоваться своей долей (части 1 и 2 статьи 379.7 ГПК РФ).</w:t>
      </w:r>
    </w:p>
    <w:p>
      <w:pPr>
        <w:spacing w:after="120" w:line="276" w:lineRule="auto"/>
        <w:ind w:firstLine="709"/>
        <w:jc w:val="both"/>
      </w:pPr>
      <w:r>
        <w:rPr>
          <w:rFonts w:ascii="Times New Roman" w:hAnsi="Times New Roman"/>
          <w:b/>
          <w:i w:val="0"/>
          <w:sz w:val="24"/>
        </w:rPr>
        <w:t>Пользование долевым имуществом.</w:t>
      </w:r>
      <w:r>
        <w:rPr>
          <w:rFonts w:ascii="Times New Roman" w:hAnsi="Times New Roman"/>
          <w:b w:val="0"/>
          <w:i w:val="0"/>
          <w:sz w:val="24"/>
        </w:rPr>
        <w:t xml:space="preserve"> Пунктом 1 статьи 247 ГК РФ установлено: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Пунктом 2: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w:t>
      </w:r>
    </w:p>
    <w:p>
      <w:pPr>
        <w:spacing w:after="120" w:line="276" w:lineRule="auto"/>
        <w:ind w:firstLine="709"/>
        <w:jc w:val="both"/>
      </w:pPr>
      <w:r>
        <w:rPr>
          <w:rFonts w:ascii="Times New Roman" w:hAnsi="Times New Roman"/>
          <w:b/>
          <w:i w:val="0"/>
          <w:sz w:val="24"/>
        </w:rPr>
        <w:t>Природа компенсации.</w:t>
      </w:r>
      <w:r>
        <w:rPr>
          <w:rFonts w:ascii="Times New Roman" w:hAnsi="Times New Roman"/>
          <w:b w:val="0"/>
          <w:i w:val="0"/>
          <w:sz w:val="24"/>
        </w:rPr>
        <w:t xml:space="preserve"> Компенсация, предусмотренная пунктом 2 статьи 247 ГК РФ, является возмещением имущественных потерь участника долевой собственности, который не может реализовать правомочие пользования имуществом, приходящимся на его долю, из-за действий другого сособственника, пользующегося имуществом сверх своей доли. Компенсация взыскивается за период, когда такая невозможность имела место и была вызвана действиями ответчика, а не собственным выбором истца не пользоваться имуществом; Верховный Суд РФ указывал на это в определениях по конкретным делам.</w:t>
      </w:r>
    </w:p>
    <w:p>
      <w:pPr>
        <w:spacing w:after="120" w:line="276" w:lineRule="auto"/>
        <w:ind w:firstLine="709"/>
        <w:jc w:val="both"/>
      </w:pPr>
      <w:r>
        <w:rPr>
          <w:rFonts w:ascii="Times New Roman" w:hAnsi="Times New Roman"/>
          <w:b w:val="0"/>
          <w:i w:val="0"/>
          <w:sz w:val="24"/>
        </w:rPr>
        <w:t>Невозможность пользования вызвана действиями ответчика: [чинение препятствий — заявления в полицию от «[дата]», решение суда о вселении не исполняется / порядок пользования определён судом с отступлением от долей].</w:t>
      </w:r>
    </w:p>
    <w:p>
      <w:pPr>
        <w:spacing w:after="120" w:line="276" w:lineRule="auto"/>
        <w:ind w:firstLine="709"/>
        <w:jc w:val="both"/>
      </w:pPr>
      <w:r>
        <w:rPr>
          <w:rFonts w:ascii="Times New Roman" w:hAnsi="Times New Roman"/>
          <w:b/>
          <w:i w:val="0"/>
          <w:sz w:val="24"/>
        </w:rPr>
        <w:t>[Если ответчик сдаёт имущество в аренду.]</w:t>
      </w:r>
      <w:r>
        <w:rPr>
          <w:rFonts w:ascii="Times New Roman" w:hAnsi="Times New Roman"/>
          <w:b w:val="0"/>
          <w:i w:val="0"/>
          <w:sz w:val="24"/>
        </w:rPr>
        <w:t xml:space="preserve"> Статьёй 248 ГК РФ установлено: «Плоды, продукция и доходы от использования имущества, находящегося в долевой собственности, поступают в состав общего имущества и распределяются между участниками долевой собственности соразмерно их долям, если иное не предусмотрено соглашением между ними.» Доходы, полученные ответчиком сверх его доли, подлежат взысканию также как неосновательное обогащение (п. 1 ст. 1102 ГК РФ: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Расходы на содержание.</w:t>
      </w:r>
      <w:r>
        <w:rPr>
          <w:rFonts w:ascii="Times New Roman" w:hAnsi="Times New Roman"/>
          <w:b w:val="0"/>
          <w:i w:val="0"/>
          <w:sz w:val="24"/>
        </w:rPr>
        <w:t xml:space="preserve"> Статьёй 249 ГК РФ: «Каждый участник долевой собственности обязан соразмерно со своей долей участвовать в уплате налогов, сборов и иных обязательных платежей по общему имуществу, а также в расходах и издержках по его содержанию и сохранению.» [Истец оплачивает свою часть расходов: квитанции.]</w:t>
      </w:r>
    </w:p>
    <w:p>
      <w:pPr>
        <w:spacing w:after="120" w:line="276" w:lineRule="auto"/>
        <w:ind w:firstLine="709"/>
        <w:jc w:val="both"/>
      </w:pPr>
      <w:r>
        <w:rPr>
          <w:rFonts w:ascii="Times New Roman" w:hAnsi="Times New Roman"/>
          <w:b/>
          <w:i w:val="0"/>
          <w:sz w:val="24"/>
        </w:rPr>
        <w:t>Злоупотребление правом недопустимо.</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Единоличное использование общего имущества вопреки воле другого сособственника и без возмещения нарушает это правило. Статьёй 304 ГК РФ: «Собственник может требовать устранения всяких нарушений его права, хотя бы эти нарушения и не были соединены с лишением владения.»</w:t>
      </w:r>
    </w:p>
    <w:p>
      <w:pPr>
        <w:spacing w:after="120" w:line="276" w:lineRule="auto"/>
        <w:ind w:firstLine="709"/>
        <w:jc w:val="both"/>
      </w:pPr>
      <w:r>
        <w:rPr>
          <w:rFonts w:ascii="Times New Roman" w:hAnsi="Times New Roman"/>
          <w:b/>
          <w:i w:val="0"/>
          <w:sz w:val="24"/>
        </w:rPr>
        <w:t>Исковая давность.</w:t>
      </w:r>
      <w:r>
        <w:rPr>
          <w:rFonts w:ascii="Times New Roman" w:hAnsi="Times New Roman"/>
          <w:b w:val="0"/>
          <w:i w:val="0"/>
          <w:sz w:val="24"/>
        </w:rPr>
        <w:t xml:space="preserve"> Пунктом 1 статьи 196 ГК РФ: «Общий срок исковой давности составляет три года со дня, определяемого в соответствии со статьей 200 настоящего Кодекса.» Компенсация взыскивается за три года, предшествовавших иску.</w:t>
      </w:r>
    </w:p>
    <w:p>
      <w:pPr>
        <w:spacing w:after="120" w:line="276" w:lineRule="auto"/>
        <w:ind w:firstLine="709"/>
        <w:jc w:val="both"/>
      </w:pPr>
      <w:r>
        <w:rPr>
          <w:rFonts w:ascii="Times New Roman" w:hAnsi="Times New Roman"/>
          <w:b/>
          <w:i w:val="0"/>
          <w:sz w:val="24"/>
        </w:rPr>
        <w:t>Размер.</w:t>
      </w:r>
      <w:r>
        <w:rPr>
          <w:rFonts w:ascii="Times New Roman" w:hAnsi="Times New Roman"/>
          <w:b w:val="0"/>
          <w:i w:val="0"/>
          <w:sz w:val="24"/>
        </w:rPr>
        <w:t xml:space="preserve"> Расчёт: [сумма] рублей × [__] месяцев = [сумма] рублей. При несогласии ответчика с оценкой истец не возражает против судебной экспертизы (ч. 1 ст.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209, 247, 288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