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лизингодатель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лизингополучатель: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задолженности по лизинговым платежам и неустойки</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задолженности по лизинговым платежам и неустойки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 применили статьи 614 и 665 ГК РФ и статью 28 Закона о лизинге: предмет лизинга передан и используется, а лизингополучатель не вносил платежи по графику (части 1 и 2 статьи 288 АПК РФ).</w:t>
      </w:r>
    </w:p>
    <w:p>
      <w:pPr>
        <w:spacing w:after="120" w:line="276" w:lineRule="auto"/>
        <w:ind w:firstLine="709"/>
        <w:jc w:val="both"/>
      </w:pPr>
      <w:r>
        <w:rPr>
          <w:rFonts w:ascii="Times New Roman" w:hAnsi="Times New Roman"/>
          <w:b/>
          <w:i w:val="0"/>
          <w:sz w:val="24"/>
        </w:rPr>
        <w:t>Договор лизинга.</w:t>
      </w:r>
      <w:r>
        <w:rPr>
          <w:rFonts w:ascii="Times New Roman" w:hAnsi="Times New Roman"/>
          <w:b w:val="0"/>
          <w:i w:val="0"/>
          <w:sz w:val="24"/>
        </w:rPr>
        <w:t xml:space="preserve"> Статьёй 665 Гражданского кодекса Российской Федерации (далее — ГК РФ) установлено: «По договору финансовой аренды (договору лизинга) арендодатель обязуется приобрести в собственность указанное арендатором имущество у определенного им продавца и предоставить арендатору это имущество за плату во временное владение и пользование. Арендодатель в этом случае не несет ответственности за выбор предмета аренды и продавца.» Аналогичное определение содержит абзац третий статьи 2 Федерального закона от 29.10.1998 № 164-ФЗ «О финансовой аренде (лизинге)» (далее — Закон о лизинге): «договор лизинга - договор, в соответствии с которым арендодатель (далее - лизингодатель) обязуется приобрести в собственность указанное арендатором (далее - лизингополучатель) имущество у определенного им продавца и предоставить лизингополучателю это имущество за плату во временное владение и пользование. Договором лизинга может быть предусмотрено, что выбор продавца и приобретаемого имущества осуществляется лизингодателем»</w:t>
      </w:r>
    </w:p>
    <w:p>
      <w:pPr>
        <w:spacing w:after="120" w:line="276" w:lineRule="auto"/>
        <w:ind w:firstLine="709"/>
        <w:jc w:val="both"/>
      </w:pPr>
      <w:r>
        <w:rPr>
          <w:rFonts w:ascii="Times New Roman" w:hAnsi="Times New Roman"/>
          <w:b/>
          <w:i w:val="0"/>
          <w:sz w:val="24"/>
        </w:rPr>
        <w:t>Лизинговые платежи.</w:t>
      </w:r>
      <w:r>
        <w:rPr>
          <w:rFonts w:ascii="Times New Roman" w:hAnsi="Times New Roman"/>
          <w:b w:val="0"/>
          <w:i w:val="0"/>
          <w:sz w:val="24"/>
        </w:rPr>
        <w:t xml:space="preserve"> Пунктом 1 статьи 28 Закона о лизинге установлено: «Под лизинговыми платежами понимается общая сумма платежей по договору лизинга за весь срок действия договора лизинга, в которую входит возмещение затрат лизингодателя, связанных с приобретением и передачей предмета лизинга лизингополучателю, возмещение затрат, связанных с оказанием других предусмотренных договором лизинга услуг, а также доход лизингодателя. В общую сумму договора лизинга может включаться выкупная цена предмета лизинга, если договором лизинга предусмотрен переход права собственности на предмет лизинга к лизингополучателю.» Согласно абзацу третьему пункта 5 статьи 15 Закона о лизинге лизингополучатель обязуется «выплатить лизингодателю лизинговые платежи в порядке и в сроки, которые предусмотрены договором лизинга»</w:t>
      </w:r>
    </w:p>
    <w:p>
      <w:pPr>
        <w:spacing w:after="120" w:line="276" w:lineRule="auto"/>
        <w:ind w:firstLine="709"/>
        <w:jc w:val="both"/>
      </w:pPr>
      <w:r>
        <w:rPr>
          <w:rFonts w:ascii="Times New Roman" w:hAnsi="Times New Roman"/>
          <w:b/>
          <w:i w:val="0"/>
          <w:sz w:val="24"/>
        </w:rPr>
        <w:t>Начало обязательств по оплате.</w:t>
      </w:r>
      <w:r>
        <w:rPr>
          <w:rFonts w:ascii="Times New Roman" w:hAnsi="Times New Roman"/>
          <w:b w:val="0"/>
          <w:i w:val="0"/>
          <w:sz w:val="24"/>
        </w:rPr>
        <w:t xml:space="preserve"> Пунктом 3 статьи 28 Закона о лизинге установлено: «Обязательства лизингополучателя по уплате лизинговых платежей наступают с момента начала использования лизингополучателем предмета лизинга, если иное не предусмотрено договором лизинга.» Предмет лизинга передан ответчику и используется им с «[дата]».</w:t>
      </w:r>
    </w:p>
    <w:p>
      <w:pPr>
        <w:spacing w:after="120" w:line="276" w:lineRule="auto"/>
        <w:ind w:firstLine="709"/>
        <w:jc w:val="both"/>
      </w:pPr>
      <w:r>
        <w:rPr>
          <w:rFonts w:ascii="Times New Roman" w:hAnsi="Times New Roman"/>
          <w:b/>
          <w:i w:val="0"/>
          <w:sz w:val="24"/>
        </w:rPr>
        <w:t>Риски лизингополучателя.</w:t>
      </w:r>
      <w:r>
        <w:rPr>
          <w:rFonts w:ascii="Times New Roman" w:hAnsi="Times New Roman"/>
          <w:b w:val="0"/>
          <w:i w:val="0"/>
          <w:sz w:val="24"/>
        </w:rPr>
        <w:t xml:space="preserve"> Пунктом 1 статьи 22 Закона о лизинге предусмотрено: «Ответственность за сохранность предмета лизинга от всех видов имущественного ущерба, а также за риски, связанные с его гибелью, утратой, порчей, хищением, преждевременной поломкой, ошибкой, допущенной при его монтаже или эксплуатации, и иные имущественные риски с момента фактической приемки предмета лизинга несет лизингополучатель, если иное не предусмотрено договором лизинга.» Согласно статье 669 ГК РФ «Риск случайной гибели или случайной порчи арендованного имущества переходит к арендатору в момент передачи ему арендованного имущества, если иное не предусмотрено договором финансовой аренды.» Поэтому поломка, повреждение или простой предмета лизинга не освобождают ответчика от внесения платежей.</w:t>
      </w:r>
    </w:p>
    <w:p>
      <w:pPr>
        <w:spacing w:after="120" w:line="276" w:lineRule="auto"/>
        <w:ind w:firstLine="709"/>
        <w:jc w:val="both"/>
      </w:pPr>
      <w:r>
        <w:rPr>
          <w:rFonts w:ascii="Times New Roman" w:hAnsi="Times New Roman"/>
          <w:b/>
          <w:i w:val="0"/>
          <w:sz w:val="24"/>
        </w:rPr>
        <w:t>Применение правил об аренде.</w:t>
      </w:r>
      <w:r>
        <w:rPr>
          <w:rFonts w:ascii="Times New Roman" w:hAnsi="Times New Roman"/>
          <w:b w:val="0"/>
          <w:i w:val="0"/>
          <w:sz w:val="24"/>
        </w:rPr>
        <w:t xml:space="preserve"> Пунктом 1 статьи 614 ГК РФ установлено: «Арендатор обязан своевременно вносить плату за пользование имуществом (арендную плату).» «Порядок, условия и сроки внесения арендной платы определяются договором аренды. В случае, когда договором они не определены, считается, что установлены порядок, условия и сроки, обычно применяемые при аренде аналогичного имущества при сравнимых обстоятельствах.»</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ind w:firstLine="709"/>
        <w:jc w:val="both"/>
      </w:pPr>
      <w:r>
        <w:rPr>
          <w:rFonts w:ascii="Times New Roman" w:hAnsi="Times New Roman"/>
          <w:b/>
          <w:i w:val="0"/>
          <w:sz w:val="24"/>
        </w:rPr>
        <w:t>Договорная неустойка.</w:t>
      </w:r>
      <w:r>
        <w:rPr>
          <w:rFonts w:ascii="Times New Roman" w:hAnsi="Times New Roman"/>
          <w:b w:val="0"/>
          <w:i w:val="0"/>
          <w:sz w:val="24"/>
        </w:rPr>
        <w:t xml:space="preserve"> В соответствии с пунктом 1 статьи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Статьёй 331 ГК РФ установлено: «Соглашение о неустойке должно быть совершено в письменной форме независимо от формы основного обязательства.» Условие о неустойке согласовано сторонами в письменной форме в пункте [__] Договора.</w:t>
      </w:r>
    </w:p>
    <w:p>
      <w:pPr>
        <w:spacing w:after="120" w:line="276" w:lineRule="auto"/>
        <w:ind w:firstLine="709"/>
        <w:jc w:val="both"/>
      </w:pPr>
      <w:r>
        <w:rPr>
          <w:rFonts w:ascii="Times New Roman" w:hAnsi="Times New Roman"/>
          <w:b w:val="0"/>
          <w:i w:val="0"/>
          <w:sz w:val="24"/>
        </w:rPr>
        <w:t>Пеня за период с «[дата]» по «[дата]» составляет [сумма] рублей и подлежит начислению до дня фактической оплаты.</w:t>
      </w:r>
    </w:p>
    <w:p>
      <w:pPr>
        <w:spacing w:after="120" w:line="276" w:lineRule="auto"/>
        <w:ind w:firstLine="709"/>
        <w:jc w:val="both"/>
      </w:pPr>
      <w:r>
        <w:rPr>
          <w:rFonts w:ascii="Times New Roman" w:hAnsi="Times New Roman"/>
          <w:b/>
          <w:i w:val="0"/>
          <w:sz w:val="24"/>
        </w:rPr>
        <w:t>Основания для снижения неустойки отсутствуют.</w:t>
      </w:r>
      <w:r>
        <w:rPr>
          <w:rFonts w:ascii="Times New Roman" w:hAnsi="Times New Roman"/>
          <w:b w:val="0"/>
          <w:i w:val="0"/>
          <w:sz w:val="24"/>
        </w:rPr>
        <w:t xml:space="preserve"> Согласно пункту 1 статьи 333 ГК РФ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В силу пункта 2 той же статьи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330, 614, 665 ГК РФ, статьёй 28 Федерального закона «О финансовой аренде (лизинге)»,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