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сетевая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неустойки за нарушение срока осуществления технологического присоединения [и об обязании исполнить договор]</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неустойки за просрочку технологического присоединения и обязании осуществить присоединение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26 Закона об электроэнергетике и Правила технологического присоединения: сетевая организация обязана выполнить мероприятия в установленный срок, а неустойка установлена договором и Правилами (части 1 и 2 статьи 288 АПК РФ).</w:t>
      </w:r>
    </w:p>
    <w:p>
      <w:pPr>
        <w:spacing w:after="120" w:line="276" w:lineRule="auto"/>
        <w:ind w:firstLine="709"/>
        <w:jc w:val="both"/>
      </w:pPr>
      <w:r>
        <w:rPr>
          <w:rFonts w:ascii="Times New Roman" w:hAnsi="Times New Roman"/>
          <w:b/>
          <w:i w:val="0"/>
          <w:sz w:val="24"/>
        </w:rPr>
        <w:t>Договор о технологическом присоединении.</w:t>
      </w:r>
      <w:r>
        <w:rPr>
          <w:rFonts w:ascii="Times New Roman" w:hAnsi="Times New Roman"/>
          <w:b w:val="0"/>
          <w:i w:val="0"/>
          <w:sz w:val="24"/>
        </w:rPr>
        <w:t xml:space="preserve"> Абзацем четвёртым пункта 1 статьи 26 Федерального закона от 26.03.2003 № 35-ФЗ «Об электроэнергетике» (далее — Закон об электроэнергетике) установлено: «Технологическое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 Согласно абзацу пятому того же пункта «Технологическое присоединение осуществляется в сроки,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w:t>
      </w:r>
    </w:p>
    <w:p>
      <w:pPr>
        <w:spacing w:after="120" w:line="276" w:lineRule="auto"/>
        <w:ind w:firstLine="709"/>
        <w:jc w:val="both"/>
      </w:pPr>
      <w:r>
        <w:rPr>
          <w:rFonts w:ascii="Times New Roman" w:hAnsi="Times New Roman"/>
          <w:b/>
          <w:i w:val="0"/>
          <w:sz w:val="24"/>
        </w:rPr>
        <w:t>Обязанности сетевой организации.</w:t>
      </w:r>
      <w:r>
        <w:rPr>
          <w:rFonts w:ascii="Times New Roman" w:hAnsi="Times New Roman"/>
          <w:b w:val="0"/>
          <w:i w:val="0"/>
          <w:sz w:val="24"/>
        </w:rPr>
        <w:t xml:space="preserve"> Пунктом 1 статьи 26 Закона об электроэнергетике также предусмотрено: «По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w:t>
      </w:r>
    </w:p>
    <w:p>
      <w:pPr>
        <w:spacing w:after="120" w:line="276" w:lineRule="auto"/>
        <w:ind w:firstLine="709"/>
        <w:jc w:val="both"/>
      </w:pPr>
      <w:r>
        <w:rPr>
          <w:rFonts w:ascii="Times New Roman" w:hAnsi="Times New Roman"/>
          <w:b/>
          <w:i w:val="0"/>
          <w:sz w:val="24"/>
        </w:rPr>
        <w:t>Ответственность сетевой организации.</w:t>
      </w:r>
      <w:r>
        <w:rPr>
          <w:rFonts w:ascii="Times New Roman" w:hAnsi="Times New Roman"/>
          <w:b w:val="0"/>
          <w:i w:val="0"/>
          <w:sz w:val="24"/>
        </w:rPr>
        <w:t xml:space="preserve"> Порядок технологического присоединения, утверждаемый Правительством Российской Федерации, устанавливает, в частности, «ответственность сетевых организаций за несоблюдение сроков осуществления технологического присоединения» Правилами технологического присоединения (постановление Правительства РФ от 27.12.2004 № 861) в качестве существенного условия договора предусмотрена обязанность стороны, нарушившей срок осуществления мероприятий по технологическому присоединению, уплатить другой стороне неустойку, размер которой зависит от категории заявителя и размера платы [изложено своими словами — укажите подпункт «в» пункта 16 Правил в редакции на дату договора]. Пунктом [__] Договора неустойка установлена в размере [__] % от общего размера платы за каждый день просрочки.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330 ГК РФ установлено: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Исполнение в натуре.</w:t>
      </w:r>
      <w:r>
        <w:rPr>
          <w:rFonts w:ascii="Times New Roman" w:hAnsi="Times New Roman"/>
          <w:b w:val="0"/>
          <w:i w:val="0"/>
          <w:sz w:val="24"/>
        </w:rPr>
        <w:t xml:space="preserve"> [Если присоединение не выполнено:]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Договор о технологическом присоединении публичный, сетевая организация не вправе уклоняться от его исполнения.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Отсутствие финансирования инвестпрограммы и загруженность подрядчиков сетевой организации не освобождают её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330, 426 ГК РФ, статьёй 26 Федерального закона «Об электроэнергетике»,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