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заказчик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подрядчик: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неустойки за нарушение сроков выполнения работ по договору подряда</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неустойки за нарушение сроков выполнения работ по договору подряда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во взыскании [или чрезмерно снижая] неустойку, суды неправильно применили статьи 330, 333 и 708 ГК РФ: подрядчик нарушил сроки, а просрочка не вызвана действиями заказчика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пункту 1 статьи 702 Гражданского кодекса Российской Федерации (далее —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силу пункта 2 той же статьи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pPr>
        <w:spacing w:after="120" w:line="276" w:lineRule="auto"/>
        <w:ind w:firstLine="709"/>
        <w:jc w:val="both"/>
      </w:pPr>
      <w:r>
        <w:rPr>
          <w:rFonts w:ascii="Times New Roman" w:hAnsi="Times New Roman"/>
          <w:b/>
          <w:i w:val="0"/>
          <w:sz w:val="24"/>
        </w:rPr>
        <w:t>Сроки выполнения работ.</w:t>
      </w:r>
      <w:r>
        <w:rPr>
          <w:rFonts w:ascii="Times New Roman" w:hAnsi="Times New Roman"/>
          <w:b w:val="0"/>
          <w:i w:val="0"/>
          <w:sz w:val="24"/>
        </w:rPr>
        <w:t xml:space="preserve"> Пунктом 1 статьи 708 ГК РФ установлено: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 Согласно пункту 2 той же статьи «Указанные в договоре подряда начальный, конечный и промежуточные сроки выполнения работы могут быть изменены в случаях и в порядке, предусмотренных договором.» Сроки изменялись только в порядке, предусмотренном пунктом [__] Договора, — такого изменения не было.</w:t>
      </w:r>
    </w:p>
    <w:p>
      <w:pPr>
        <w:spacing w:after="120" w:line="276" w:lineRule="auto"/>
        <w:ind w:firstLine="709"/>
        <w:jc w:val="both"/>
      </w:pPr>
      <w:r>
        <w:rPr>
          <w:rFonts w:ascii="Times New Roman" w:hAnsi="Times New Roman"/>
          <w:b/>
          <w:i w:val="0"/>
          <w:sz w:val="24"/>
        </w:rPr>
        <w:t>Просрочка подрядчика.</w:t>
      </w:r>
      <w:r>
        <w:rPr>
          <w:rFonts w:ascii="Times New Roman" w:hAnsi="Times New Roman"/>
          <w:b w:val="0"/>
          <w:i w:val="0"/>
          <w:sz w:val="24"/>
        </w:rPr>
        <w:t xml:space="preserve"> Пунктом 1 статьи 405 ГК РФ предусмотрено: «Должник, просрочивший исполнение, отвечает перед кредитором за убытки, причиненные просрочкой, и за последствия случайно наступившей во время просрочки невозможности исполнения.» В силу пункта 3 статьи 708 ГК РФ «Указанные в пункте 2 статьи 405 настоящего Кодекса последствия просрочки исполнения наступают при нарушении конечного срока выполнения работы, а также иных установленных договором подряда сроков.»</w:t>
      </w:r>
    </w:p>
    <w:p>
      <w:pPr>
        <w:spacing w:after="120" w:line="276" w:lineRule="auto"/>
        <w:ind w:firstLine="709"/>
        <w:jc w:val="both"/>
      </w:pPr>
      <w:r>
        <w:rPr>
          <w:rFonts w:ascii="Times New Roman" w:hAnsi="Times New Roman"/>
          <w:b/>
          <w:i w:val="0"/>
          <w:sz w:val="24"/>
        </w:rPr>
        <w:t>Договорная неустойка.</w:t>
      </w:r>
      <w:r>
        <w:rPr>
          <w:rFonts w:ascii="Times New Roman" w:hAnsi="Times New Roman"/>
          <w:b w:val="0"/>
          <w:i w:val="0"/>
          <w:sz w:val="24"/>
        </w:rPr>
        <w:t xml:space="preserve"> В соответствии с пунктом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Статьёй 331 ГК РФ установлено: «Соглашение о неустойке должно быть совершено в письменной форме независимо от формы основного обязательства.» Условие о неустойке согласовано сторонами в письменной форме в пункте [__] Договора.</w:t>
      </w:r>
    </w:p>
    <w:p>
      <w:pPr>
        <w:spacing w:after="120" w:line="276" w:lineRule="auto"/>
        <w:ind w:firstLine="709"/>
        <w:jc w:val="both"/>
      </w:pPr>
      <w:r>
        <w:rPr>
          <w:rFonts w:ascii="Times New Roman" w:hAnsi="Times New Roman"/>
          <w:b/>
          <w:i w:val="0"/>
          <w:sz w:val="24"/>
        </w:rPr>
        <w:t>Расчёт неустойки.</w:t>
      </w:r>
      <w:r>
        <w:rPr>
          <w:rFonts w:ascii="Times New Roman" w:hAnsi="Times New Roman"/>
          <w:b w:val="0"/>
          <w:i w:val="0"/>
          <w:sz w:val="24"/>
        </w:rPr>
        <w:t xml:space="preserve"> Неустойка рассчитана [по каждому этапу отдельно от его стоимости / от цены Договора] за период с «[дата, следующая за последним днём срока]» по «[дата фактической сдачи]» и составляет [сумма] рублей (расчёт прилагается).</w:t>
      </w:r>
    </w:p>
    <w:p>
      <w:pPr>
        <w:spacing w:after="120" w:line="276" w:lineRule="auto"/>
        <w:ind w:firstLine="709"/>
        <w:jc w:val="both"/>
      </w:pPr>
      <w:r>
        <w:rPr>
          <w:rFonts w:ascii="Times New Roman" w:hAnsi="Times New Roman"/>
          <w:b/>
          <w:i w:val="0"/>
          <w:sz w:val="24"/>
        </w:rPr>
        <w:t>Отсутствие просрочки заказчика.</w:t>
      </w:r>
      <w:r>
        <w:rPr>
          <w:rFonts w:ascii="Times New Roman" w:hAnsi="Times New Roman"/>
          <w:b w:val="0"/>
          <w:i w:val="0"/>
          <w:sz w:val="24"/>
        </w:rPr>
        <w:t xml:space="preserve"> Пунктом 1 статьи 719 ГК РФ подрядчику дано право приостановить работы при нарушении заказчиком встречных обязанностей: «Подрядчик вправе не приступать к работе, а начатую работу приостановить в случаях, когда нарушение заказчиком своих обязанностей по договору подряда, в частности непредоставление материала, оборудования, технической документации или подлежащей переработке (обработке) вещи,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(статья 328).» Ответчик этим правом не воспользовался, о препятствиях заказчика не уведомлял. Согласно пункту 2 статьи 716 ГК РФ «Подрядчик, не предупредивший заказчика об обстоятельствах, указанных в пункте 1 настоящей статьи, либо продолживший работу, не дожидаясь истечения указанного в договоре срока, а при его отсутствии разумного срока для ответа на предупреждение или несмотря на своевременное указание заказчика о прекращении работы, не вправе при предъявлении к нему или им к заказчику соответствующих требований ссылаться на указанные обстоятельства.» Поэтому ответчик не вправе ссылаться на вину заказчика.</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Договор заключён ответчиком в рамках предпринимательской деятельности, поэтому ссылки на нехватку денежных средств, рабочей силы или нарушения со стороны его контрагентов не освобождают его от ответственности.</w:t>
      </w:r>
    </w:p>
    <w:p>
      <w:pPr>
        <w:spacing w:after="120" w:line="276" w:lineRule="auto"/>
        <w:ind w:firstLine="709"/>
        <w:jc w:val="both"/>
      </w:pPr>
      <w:r>
        <w:rPr>
          <w:rFonts w:ascii="Times New Roman" w:hAnsi="Times New Roman"/>
          <w:b/>
          <w:i w:val="0"/>
          <w:sz w:val="24"/>
        </w:rPr>
        <w:t>Основания для снижения неустойки отсутствуют.</w:t>
      </w:r>
      <w:r>
        <w:rPr>
          <w:rFonts w:ascii="Times New Roman" w:hAnsi="Times New Roman"/>
          <w:b w:val="0"/>
          <w:i w:val="0"/>
          <w:sz w:val="24"/>
        </w:rPr>
        <w:t xml:space="preserve"> Согласно пункту 1 статьи 333 ГК РФ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В силу пункта 2 той же статьи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Размер неустойки согласован сторонами добровольно и обычен для строительной отрасли; доказательств явной несоразмерности и получения истцом необоснованной выгоды нет.</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330, 333, 405, 406, 708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