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покупатель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неустойки за просрочку поставки товара по договору поставки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неустойки за просрочку поставки товара по договору поставки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во взыскании [или чрезмерно снижая] неустойку, суды неправильно применили статьи 330, 333 и 521 ГК РФ: поставщик нарушил сроки поставки, а оснований для снижения неустойки ниже ключевой ставки нет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Срок поставки.</w:t>
      </w:r>
      <w:r>
        <w:rPr>
          <w:rFonts w:ascii="Times New Roman" w:hAnsi="Times New Roman"/>
          <w:b w:val="0"/>
          <w:i w:val="0"/>
          <w:sz w:val="24"/>
        </w:rPr>
        <w:t xml:space="preserve">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Срок поставки согласован сторонами в спецификации и является для ответчика обязательным. Пунктом 1 статьи 511 ГК РФ установлено: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line="276" w:lineRule="auto"/>
        <w:ind w:firstLine="709"/>
        <w:jc w:val="both"/>
      </w:pPr>
      <w:r>
        <w:rPr>
          <w:rFonts w:ascii="Times New Roman" w:hAnsi="Times New Roman"/>
          <w:b/>
          <w:i w:val="0"/>
          <w:sz w:val="24"/>
        </w:rPr>
        <w:t>Неустойка за просрочку поставки.</w:t>
      </w:r>
      <w:r>
        <w:rPr>
          <w:rFonts w:ascii="Times New Roman" w:hAnsi="Times New Roman"/>
          <w:b w:val="0"/>
          <w:i w:val="0"/>
          <w:sz w:val="24"/>
        </w:rPr>
        <w:t xml:space="preserve"> Статьёй 521 ГК РФ предусмотрено: «Установленная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Соглашение о неустойке заключено в письменной форме, как того требует статья 331 ГК РФ: «Соглашение о неустойке должно быть совершено в письменной форме независимо от формы основного обязательства.»</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Неустойка начисляется на стоимость товара, не поставленного в срок, за каждый день просрочки: [сумма] руб. × [0,1] % × [__] дней (с «[дата]» по «[дата]») = [сумма] рублей. [Если товар не поставлен до сих пор — неустойка начисляется по день фактической поставки.] Расчёт по каждой партии прилагается.</w:t>
      </w:r>
    </w:p>
    <w:p>
      <w:pPr>
        <w:spacing w:after="120" w:line="276" w:lineRule="auto"/>
        <w:ind w:firstLine="709"/>
        <w:jc w:val="both"/>
      </w:pPr>
      <w:r>
        <w:rPr>
          <w:rFonts w:ascii="Times New Roman" w:hAnsi="Times New Roman"/>
          <w:b/>
          <w:i w:val="0"/>
          <w:sz w:val="24"/>
        </w:rPr>
        <w:t>Просрочка должника и ответственность без вины.</w:t>
      </w:r>
      <w:r>
        <w:rPr>
          <w:rFonts w:ascii="Times New Roman" w:hAnsi="Times New Roman"/>
          <w:b w:val="0"/>
          <w:i w:val="0"/>
          <w:sz w:val="24"/>
        </w:rPr>
        <w:t xml:space="preserve"> Согласно пункту 1 статьи 405 ГК РФ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Ссылки поставщика на задержку товара его собственными поставщиками или на рост цен по закону не являются основанием освобождения от ответственности.</w:t>
      </w:r>
    </w:p>
    <w:p>
      <w:pPr>
        <w:spacing w:after="120" w:line="276" w:lineRule="auto"/>
        <w:ind w:firstLine="709"/>
        <w:jc w:val="both"/>
      </w:pPr>
      <w:r>
        <w:rPr>
          <w:rFonts w:ascii="Times New Roman" w:hAnsi="Times New Roman"/>
          <w:b/>
          <w:i w:val="0"/>
          <w:sz w:val="24"/>
        </w:rPr>
        <w:t>Встречное исполнение не нарушено.</w:t>
      </w:r>
      <w:r>
        <w:rPr>
          <w:rFonts w:ascii="Times New Roman" w:hAnsi="Times New Roman"/>
          <w:b w:val="0"/>
          <w:i w:val="0"/>
          <w:sz w:val="24"/>
        </w:rPr>
        <w:t xml:space="preserve"> Срок поставки не зависел от действий истца: [предоплата внесена своевременно / заявка согласована «[дата]»]. Поэтому положения пункта 3 статьи 405 ГК РФ о просрочке кредитора к спору не применимы.</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[0,1 % в день] обычен для делового оборота, согласован ответчиком добровольно, а просрочка длится [__] дней;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506, 521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