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поставщик (подрядчик, исполнитель)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государственный (муниципальный)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по государственному (муниципальному) контракту и пени за просрочку оплаты</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по государственному (муниципальному) контракту и пени за просрочку оплаты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34 и 94 Закона № 44-ФЗ: обязательства исполнены и приняты заказчиком, а срок оплаты и пени установлены законом (части 1 и 2 статьи 288 АПК РФ).</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Срок оплаты.</w:t>
      </w:r>
      <w:r>
        <w:rPr>
          <w:rFonts w:ascii="Times New Roman" w:hAnsi="Times New Roman"/>
          <w:b w:val="0"/>
          <w:i w:val="0"/>
          <w:sz w:val="24"/>
        </w:rPr>
        <w:t xml:space="preserve"> Частью 13.1 статьи 34 Закона № 44-ФЗ установлено: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частью 7 статьи 94 настоящего Федерального закона, за исключением случаев, если:» Срок оплаты по Контракту истёк «[дата]».</w:t>
      </w:r>
    </w:p>
    <w:p>
      <w:pPr>
        <w:spacing w:after="120" w:line="276" w:lineRule="auto"/>
        <w:ind w:firstLine="709"/>
        <w:jc w:val="both"/>
      </w:pPr>
      <w:r>
        <w:rPr>
          <w:rFonts w:ascii="Times New Roman" w:hAnsi="Times New Roman"/>
          <w:b/>
          <w:i w:val="0"/>
          <w:sz w:val="24"/>
        </w:rPr>
        <w:t>Ответственность заказчика.</w:t>
      </w:r>
      <w:r>
        <w:rPr>
          <w:rFonts w:ascii="Times New Roman" w:hAnsi="Times New Roman"/>
          <w:b w:val="0"/>
          <w:i w:val="0"/>
          <w:sz w:val="24"/>
        </w:rPr>
        <w:t xml:space="preserve"> Частью 5 статьи 34 Закона № 44-ФЗ установлено: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pPr>
        <w:spacing w:after="120" w:line="276" w:lineRule="auto"/>
        <w:ind w:firstLine="709"/>
        <w:jc w:val="both"/>
      </w:pPr>
      <w:r>
        <w:rPr>
          <w:rFonts w:ascii="Times New Roman" w:hAnsi="Times New Roman"/>
          <w:b/>
          <w:i w:val="0"/>
          <w:sz w:val="24"/>
        </w:rPr>
        <w:t>Расчёт пени.</w:t>
      </w:r>
      <w:r>
        <w:rPr>
          <w:rFonts w:ascii="Times New Roman" w:hAnsi="Times New Roman"/>
          <w:b w:val="0"/>
          <w:i w:val="0"/>
          <w:sz w:val="24"/>
        </w:rPr>
        <w:t xml:space="preserve"> Пеня рассчитана по формуле: [сумма долга] × 1/300 × [ключевая ставка Банка России на дату уплаты пени, а на дату расчёта — [__] %] × [__] дней = [сумма] рублей. Пеня подлежит начислению до дня фактической оплаты.</w:t>
      </w:r>
    </w:p>
    <w:p>
      <w:pPr>
        <w:spacing w:after="120" w:line="276" w:lineRule="auto"/>
        <w:ind w:firstLine="709"/>
        <w:jc w:val="both"/>
      </w:pPr>
      <w:r>
        <w:rPr>
          <w:rFonts w:ascii="Times New Roman" w:hAnsi="Times New Roman"/>
          <w:b/>
          <w:i w:val="0"/>
          <w:sz w:val="24"/>
        </w:rPr>
        <w:t>Освобождение от неустойки.</w:t>
      </w:r>
      <w:r>
        <w:rPr>
          <w:rFonts w:ascii="Times New Roman" w:hAnsi="Times New Roman"/>
          <w:b w:val="0"/>
          <w:i w:val="0"/>
          <w:sz w:val="24"/>
        </w:rPr>
        <w:t xml:space="preserve"> Частью 9 статьи 34 Закона № 44-ФЗ предусмотрено: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spacing w:after="120" w:line="276" w:lineRule="auto"/>
        <w:ind w:firstLine="709"/>
        <w:jc w:val="both"/>
      </w:pPr>
      <w:r>
        <w:rPr>
          <w:rFonts w:ascii="Times New Roman" w:hAnsi="Times New Roman"/>
          <w:b w:val="0"/>
          <w:i w:val="0"/>
          <w:sz w:val="24"/>
        </w:rPr>
        <w:t>Отсутствие лимитов бюджетных обязательств или задержка финансирования не являются ни непреодолимой силой, ни виной истца.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Ответственность за нарушение обязательства.</w:t>
      </w:r>
      <w:r>
        <w:rPr>
          <w:rFonts w:ascii="Times New Roman" w:hAnsi="Times New Roman"/>
          <w:b w:val="0"/>
          <w:i w:val="0"/>
          <w:sz w:val="24"/>
        </w:rPr>
        <w:t xml:space="preserve"> Пунктом 1 статьи 401 ГК РФ предусмотрено: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330, 526, 763 ГК РФ, статьями 34, 94 Федерального закона № 44-ФЗ,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