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подрядчик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заказчик: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задолженности по оплате выполненных работ и неустойки за просрочку оплаты</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задолженности по оплате выполненных работ и неустойки за просрочку оплаты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711, 746 и 753 ГК РФ: работы выполнены и приняты заказчиком без замечаний, поэтому подлежат оплате в согласованный срок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пункту 1 статьи 702 Гражданского кодекса Российской Федерации (далее —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силу пункта 2 той же статьи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pPr>
        <w:spacing w:after="120" w:line="276" w:lineRule="auto"/>
        <w:ind w:firstLine="709"/>
        <w:jc w:val="both"/>
      </w:pPr>
      <w:r>
        <w:rPr>
          <w:rFonts w:ascii="Times New Roman" w:hAnsi="Times New Roman"/>
          <w:b/>
          <w:i w:val="0"/>
          <w:sz w:val="24"/>
        </w:rPr>
        <w:t>Обязанность оплатить принятые работы.</w:t>
      </w:r>
      <w:r>
        <w:rPr>
          <w:rFonts w:ascii="Times New Roman" w:hAnsi="Times New Roman"/>
          <w:b w:val="0"/>
          <w:i w:val="0"/>
          <w:sz w:val="24"/>
        </w:rPr>
        <w:t xml:space="preserve"> Пунктом 1 статьи 711 ГК РФ предусмотрено: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Согласно пункту 1 статьи 720 ГК РФ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 Акты подписаны ответчиком без возражений; в силу пункта 3 той же статьи «Если иное не предусмотрено договором подряда, заказчик, принявший работу без проверки, лишается права ссылаться на недостатки работы, которые могли быть установлены при обычном способе ее приемки (явные недостатки).»</w:t>
      </w:r>
    </w:p>
    <w:p>
      <w:pPr>
        <w:spacing w:after="120" w:line="276" w:lineRule="auto"/>
        <w:ind w:firstLine="709"/>
        <w:jc w:val="both"/>
      </w:pPr>
      <w:r>
        <w:rPr>
          <w:rFonts w:ascii="Times New Roman" w:hAnsi="Times New Roman"/>
          <w:b/>
          <w:i w:val="0"/>
          <w:sz w:val="24"/>
        </w:rPr>
        <w:t>Работы выполнены надлежащим образом.</w:t>
      </w:r>
      <w:r>
        <w:rPr>
          <w:rFonts w:ascii="Times New Roman" w:hAnsi="Times New Roman"/>
          <w:b w:val="0"/>
          <w:i w:val="0"/>
          <w:sz w:val="24"/>
        </w:rPr>
        <w:t xml:space="preserve"> Пунктом 1 статьи 721 ГК РФ установлено: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Претензий по качеству, объёму и срокам работ ответчик не заявлял ни при приёмке, ни после неё.</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Договорная неустойка.</w:t>
      </w:r>
      <w:r>
        <w:rPr>
          <w:rFonts w:ascii="Times New Roman" w:hAnsi="Times New Roman"/>
          <w:b w:val="0"/>
          <w:i w:val="0"/>
          <w:sz w:val="24"/>
        </w:rPr>
        <w:t xml:space="preserve"> В соответствии с пунктом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Статьёй 331 ГК РФ установлено: «Соглашение о неустойке должно быть совершено в письменной форме независимо от формы основного обязательства.» Условие о неустойке согласовано сторонами в письменной форме в пункте [__] Договора.</w:t>
      </w:r>
    </w:p>
    <w:p>
      <w:pPr>
        <w:spacing w:after="120" w:line="276" w:lineRule="auto"/>
        <w:ind w:firstLine="709"/>
        <w:jc w:val="both"/>
      </w:pPr>
      <w:r>
        <w:rPr>
          <w:rFonts w:ascii="Times New Roman" w:hAnsi="Times New Roman"/>
          <w:b w:val="0"/>
          <w:i w:val="0"/>
          <w:sz w:val="24"/>
        </w:rPr>
        <w:t>Неустойка за период с «[дата]» по «[дата составления иска]» составляет [сумма] рублей (расчёт по каждому акту прилагается). Поскольку обязательство не исполнено, неустойка подлежит начислению до дня фактической оплаты. В силу пункта 4 статьи 395 ГК РФ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w:t>
      </w:r>
    </w:p>
    <w:p>
      <w:pPr>
        <w:spacing w:after="120" w:line="276" w:lineRule="auto"/>
        <w:ind w:firstLine="709"/>
        <w:jc w:val="both"/>
      </w:pPr>
      <w:r>
        <w:rPr>
          <w:rFonts w:ascii="Times New Roman" w:hAnsi="Times New Roman"/>
          <w:b/>
          <w:i w:val="0"/>
          <w:sz w:val="24"/>
        </w:rPr>
        <w:t>Основания для снижения неустойки отсутствуют.</w:t>
      </w:r>
      <w:r>
        <w:rPr>
          <w:rFonts w:ascii="Times New Roman" w:hAnsi="Times New Roman"/>
          <w:b w:val="0"/>
          <w:i w:val="0"/>
          <w:sz w:val="24"/>
        </w:rPr>
        <w:t xml:space="preserve"> Согласно пункту 1 статьи 333 ГК РФ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В силу пункта 2 той же статьи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Размер неустойки согласован сторонами добровольно и обычен для строительной отрасли; доказательств явной несоразмерности и получения истцом необоснованной выгоды нет.</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Договор заключён ответчиком в рамках предпринимательской деятельности, поэтому ссылки на нехватку денежных средств, рабочей силы или нарушения со стороны его контрагентов не освобождают его от ответственности.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330, 702, 711, 746, 753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