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кредитор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должник: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процентов за пользование чужими денежными средствами за период просрочки оплаты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395 ГК РФ: должник допустил просрочку, погашение долга не освобождает от процентов за период просрочки, а договорная неустойка за это нарушение не установлена (части 1 и 2 статьи 288 АПК РФ).</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Согласно пункту 3 той же статьи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line="276" w:lineRule="auto"/>
        <w:ind w:firstLine="709"/>
        <w:jc w:val="both"/>
      </w:pPr>
      <w:r>
        <w:rPr>
          <w:rFonts w:ascii="Times New Roman" w:hAnsi="Times New Roman"/>
          <w:b/>
          <w:i w:val="0"/>
          <w:sz w:val="24"/>
        </w:rPr>
        <w:t>Отсутствие договорной неустойки.</w:t>
      </w:r>
      <w:r>
        <w:rPr>
          <w:rFonts w:ascii="Times New Roman" w:hAnsi="Times New Roman"/>
          <w:b w:val="0"/>
          <w:i w:val="0"/>
          <w:sz w:val="24"/>
        </w:rPr>
        <w:t xml:space="preserve"> Пунктом 4 статьи 395 ГК РФ предусмотрено: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Договор неустойку за просрочку оплаты не устанавливает, поэтому взыскиваются проценты.</w:t>
      </w:r>
    </w:p>
    <w:p>
      <w:pPr>
        <w:spacing w:after="120" w:line="276" w:lineRule="auto"/>
        <w:ind w:firstLine="709"/>
        <w:jc w:val="both"/>
      </w:pPr>
      <w:r>
        <w:rPr>
          <w:rFonts w:ascii="Times New Roman" w:hAnsi="Times New Roman"/>
          <w:b/>
          <w:i w:val="0"/>
          <w:sz w:val="24"/>
        </w:rPr>
        <w:t>Начало периода просрочки.</w:t>
      </w:r>
      <w:r>
        <w:rPr>
          <w:rFonts w:ascii="Times New Roman" w:hAnsi="Times New Roman"/>
          <w:b w:val="0"/>
          <w:i w:val="0"/>
          <w:sz w:val="24"/>
        </w:rPr>
        <w:t xml:space="preserve"> Статьёй 191 ГК РФ установлено: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Статьёй 193 ГК РФ предусмотрено: «Если последний день срока приходится на нерабочий день, днем окончания срока считается ближайший следующий за ним рабочий день.» Срок оплаты истёк «[дата]», проценты начисляются с «[дата]».</w:t>
      </w:r>
    </w:p>
    <w:p>
      <w:pPr>
        <w:spacing w:after="120" w:line="276" w:lineRule="auto"/>
        <w:ind w:firstLine="709"/>
        <w:jc w:val="both"/>
      </w:pPr>
      <w:r>
        <w:rPr>
          <w:rFonts w:ascii="Times New Roman" w:hAnsi="Times New Roman"/>
          <w:b/>
          <w:i w:val="0"/>
          <w:sz w:val="24"/>
        </w:rPr>
        <w:t>Порядок погашения.</w:t>
      </w:r>
      <w:r>
        <w:rPr>
          <w:rFonts w:ascii="Times New Roman" w:hAnsi="Times New Roman"/>
          <w:b w:val="0"/>
          <w:i w:val="0"/>
          <w:sz w:val="24"/>
        </w:rPr>
        <w:t xml:space="preserve">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Проценты по статье 395 ГК РФ являются мерой ответственности, а не процентами, указанными в статье 319, поэтому поступавшие платежи зачитывались в основной долг.</w:t>
      </w:r>
    </w:p>
    <w:p>
      <w:pPr>
        <w:spacing w:after="120" w:line="276" w:lineRule="auto"/>
        <w:ind w:firstLine="709"/>
        <w:jc w:val="both"/>
      </w:pPr>
      <w:r>
        <w:rPr>
          <w:rFonts w:ascii="Times New Roman" w:hAnsi="Times New Roman"/>
          <w:b/>
          <w:i w:val="0"/>
          <w:sz w:val="24"/>
        </w:rPr>
        <w:t>Сложные проценты не начисляются.</w:t>
      </w:r>
      <w:r>
        <w:rPr>
          <w:rFonts w:ascii="Times New Roman" w:hAnsi="Times New Roman"/>
          <w:b w:val="0"/>
          <w:i w:val="0"/>
          <w:sz w:val="24"/>
        </w:rPr>
        <w:t xml:space="preserve"> Пунктом 5 статьи 395 ГК РФ установлено: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Проценты начислены только на сумму основного долга.</w:t>
      </w:r>
    </w:p>
    <w:p>
      <w:pPr>
        <w:spacing w:after="120" w:line="276" w:lineRule="auto"/>
        <w:ind w:firstLine="709"/>
        <w:jc w:val="both"/>
      </w:pPr>
      <w:r>
        <w:rPr>
          <w:rFonts w:ascii="Times New Roman" w:hAnsi="Times New Roman"/>
          <w:b/>
          <w:i w:val="0"/>
          <w:sz w:val="24"/>
        </w:rPr>
        <w:t>Самостоятельность требования.</w:t>
      </w:r>
      <w:r>
        <w:rPr>
          <w:rFonts w:ascii="Times New Roman" w:hAnsi="Times New Roman"/>
          <w:b w:val="0"/>
          <w:i w:val="0"/>
          <w:sz w:val="24"/>
        </w:rPr>
        <w:t xml:space="preserve"> Погашение основного долга не прекращает обязанность уплатить проценты за период просрочки: обязательство по их уплате возникло в силу закона в момент просрочки и продолжает существовать до исполнения.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314, 395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