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перевозчик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грузоотправитель (заказчик):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взыскании провозной платы, штрафа за сверхнормативный простой транспортных средств и процентов</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взыскании провозной платы, штрафа за сверхнормативный простой транспортных средств и процентов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 применили статьи 785 и 790 ГК РФ и Устав автомобильного транспорта: перевозка выполнена, груз доставлен, а сверхнормативный простой зафиксирован в транспортных накладных (части 1 и 2 статьи 288 АПК РФ).</w:t>
      </w:r>
    </w:p>
    <w:p>
      <w:pPr>
        <w:spacing w:after="120" w:line="276" w:lineRule="auto"/>
        <w:ind w:firstLine="709"/>
        <w:jc w:val="both"/>
      </w:pPr>
      <w:r>
        <w:rPr>
          <w:rFonts w:ascii="Times New Roman" w:hAnsi="Times New Roman"/>
          <w:b/>
          <w:i w:val="0"/>
          <w:sz w:val="24"/>
        </w:rPr>
        <w:t>Договор перевозки груза.</w:t>
      </w:r>
      <w:r>
        <w:rPr>
          <w:rFonts w:ascii="Times New Roman" w:hAnsi="Times New Roman"/>
          <w:b w:val="0"/>
          <w:i w:val="0"/>
          <w:sz w:val="24"/>
        </w:rPr>
        <w:t xml:space="preserve"> Пунктом 1 статьи 785 Гражданского кодекса Российской Федерации (далее — ГК РФ) установлено: «По договору перевозки груза перевозчик обязуется доставить вверенный ему отправителем груз в пункт назначения и выдать его управомоченному на получение груза лицу (получателю), а отправитель обязуется уплатить за перевозку груза установленную плату.» Согласно пункту 2 той же статьи «Заключение договора перевозки груза подтверждается составлением и выдачей отправителю груза транспортной накладной (коносамента или иного документа на груз, предусмотренного соответствующим транспортным уставом или кодексом).» Частью 1 статьи 8 Федерального закона от 08.11.2007 № 259-ФЗ «Устав автомобильного транспорта и городского наземного электрического транспорта» (далее — УАТ) предусмотрено: «Заключение договора перевозки груза подтверждается транспортной накладной. Транспортная накладная, если иное не предусмотрено договором перевозки груза, составляется грузоотправителем. Транспортная накладная формируется в виде электронной транспортной накладной.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 определяет случаи, при которых транспортная накладная оформляется на бумажном носителе. В указанных случаях не исключается возможность формирования транспортной накладной в виде электронной транспортной накладной, если это предусмотрено договором перевозки груза.»</w:t>
      </w:r>
    </w:p>
    <w:p>
      <w:pPr>
        <w:spacing w:after="120" w:line="276" w:lineRule="auto"/>
        <w:ind w:firstLine="709"/>
        <w:jc w:val="both"/>
      </w:pPr>
      <w:r>
        <w:rPr>
          <w:rFonts w:ascii="Times New Roman" w:hAnsi="Times New Roman"/>
          <w:b/>
          <w:i w:val="0"/>
          <w:sz w:val="24"/>
        </w:rPr>
        <w:t>Провозная плата.</w:t>
      </w:r>
      <w:r>
        <w:rPr>
          <w:rFonts w:ascii="Times New Roman" w:hAnsi="Times New Roman"/>
          <w:b w:val="0"/>
          <w:i w:val="0"/>
          <w:sz w:val="24"/>
        </w:rPr>
        <w:t xml:space="preserve"> Пунктом 1 статьи 790 ГК РФ установлено: «За перевозку грузов, пассажиров и багажа взимается провозная плата, установленная соглашением сторон, если иное не предусмотрено законом или иными правовыми актами.» Согласно статье 309 ГК РФ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w:t>
      </w:r>
    </w:p>
    <w:p>
      <w:pPr>
        <w:spacing w:after="120" w:line="276" w:lineRule="auto"/>
        <w:ind w:firstLine="709"/>
        <w:jc w:val="both"/>
      </w:pPr>
      <w:r>
        <w:rPr>
          <w:rFonts w:ascii="Times New Roman" w:hAnsi="Times New Roman"/>
          <w:b/>
          <w:i w:val="0"/>
          <w:sz w:val="24"/>
        </w:rPr>
        <w:t>Сроки погрузки и выгрузки.</w:t>
      </w:r>
      <w:r>
        <w:rPr>
          <w:rFonts w:ascii="Times New Roman" w:hAnsi="Times New Roman"/>
          <w:b w:val="0"/>
          <w:i w:val="0"/>
          <w:sz w:val="24"/>
        </w:rPr>
        <w:t xml:space="preserve"> Пунктом 3 статьи 791 ГК РФ предусмотрено: «Погрузка (выгрузка) груза, осуществляемая силами и средствами отправителя (получателя) груза, должна производиться в сроки, предусмотренные договором, если такие сроки не установлены транспортными уставами и кодексами и издаваемыми в соответствии с ними правилами.» Частью 1 статьи 11 УАТ установлено: «Погрузка грузов в транспортные средства, контейнеры и выгрузка грузов из них должны выполняться в сроки, установленные договором перевозки груза, а в случае, если указанные сроки в договоре перевозки груза не установлены, в сроки, предусмотренные правилами перевозок грузов.»</w:t>
      </w:r>
    </w:p>
    <w:p>
      <w:pPr>
        <w:spacing w:after="120" w:line="276" w:lineRule="auto"/>
        <w:ind w:firstLine="709"/>
        <w:jc w:val="both"/>
      </w:pPr>
      <w:r>
        <w:rPr>
          <w:rFonts w:ascii="Times New Roman" w:hAnsi="Times New Roman"/>
          <w:b/>
          <w:i w:val="0"/>
          <w:sz w:val="24"/>
        </w:rPr>
        <w:t>Штраф за простой.</w:t>
      </w:r>
      <w:r>
        <w:rPr>
          <w:rFonts w:ascii="Times New Roman" w:hAnsi="Times New Roman"/>
          <w:b w:val="0"/>
          <w:i w:val="0"/>
          <w:sz w:val="24"/>
        </w:rPr>
        <w:t xml:space="preserve"> Частью 4 статьи 35 УАТ предусмотрено: «За задержку (простой) транспортных средств, поданных под погрузку, выгрузку, соответственно грузоотправитель, грузополучатель уплачивают за каждый полный час задержки (простоя) штраф в размере, установленном договором перевозки груза, а в случае, если размер указанного штрафа в договоре перевозки груза не установлен, в размере:» «пяти процентов провозной платы при перевозке в городском или пригородном сообщении»; «одного процента среднесуточной провозной платы при перевозке в междугородном сообщении, определенной в соответствии с установленным договором сроком выполнения соответствующей перевозки.». Согласно части 6 той же статьи «Штраф за задержку (простой) транспортных средств взыскивается независимо от штрафа за непредъявление для перевозок грузов, предусмотренных договорами перевозок грузов. Основанием для начисления штрафа за задержку (простой) транспортных средств служат отметки в транспортных накладных или в путевых листах о времени прибытия и убытия транспортных средств.»</w:t>
      </w:r>
    </w:p>
    <w:p>
      <w:pPr>
        <w:spacing w:after="120" w:line="276" w:lineRule="auto"/>
        <w:ind w:firstLine="709"/>
        <w:jc w:val="both"/>
      </w:pPr>
      <w:r>
        <w:rPr>
          <w:rFonts w:ascii="Times New Roman" w:hAnsi="Times New Roman"/>
          <w:b w:val="0"/>
          <w:i w:val="0"/>
          <w:sz w:val="24"/>
        </w:rPr>
        <w:t>Штраф рассчитан по каждому факту простоя: [расчёт]. Итого — [сумма] рублей.</w:t>
      </w:r>
    </w:p>
    <w:p>
      <w:pPr>
        <w:spacing w:after="120" w:line="276" w:lineRule="auto"/>
        <w:ind w:firstLine="709"/>
        <w:jc w:val="both"/>
      </w:pPr>
      <w:r>
        <w:rPr>
          <w:rFonts w:ascii="Times New Roman" w:hAnsi="Times New Roman"/>
          <w:b/>
          <w:i w:val="0"/>
          <w:sz w:val="24"/>
        </w:rPr>
        <w:t>Право удержания груза.</w:t>
      </w:r>
      <w:r>
        <w:rPr>
          <w:rFonts w:ascii="Times New Roman" w:hAnsi="Times New Roman"/>
          <w:b w:val="0"/>
          <w:i w:val="0"/>
          <w:sz w:val="24"/>
        </w:rPr>
        <w:t xml:space="preserve"> [Для сведения суда:] Пунктом 4 статьи 790 ГК РФ установлено: «Перевозчик имеет право удерживать переданные ему для перевозки грузы и багаж в обеспечение причитающихся ему провозной платы и других платежей по перевозке (статьи 359, 360), если иное не установлено законом, иными правовыми актами, договором перевозки или не вытекает из существа обязательства.»</w:t>
      </w:r>
    </w:p>
    <w:p>
      <w:pPr>
        <w:spacing w:after="120" w:line="276" w:lineRule="auto"/>
        <w:ind w:firstLine="709"/>
        <w:jc w:val="both"/>
      </w:pPr>
      <w:r>
        <w:rPr>
          <w:rFonts w:ascii="Times New Roman" w:hAnsi="Times New Roman"/>
          <w:b/>
          <w:i w:val="0"/>
          <w:sz w:val="24"/>
        </w:rPr>
        <w:t>Проценты за просрочку оплаты.</w:t>
      </w:r>
      <w:r>
        <w:rPr>
          <w:rFonts w:ascii="Times New Roman" w:hAnsi="Times New Roman"/>
          <w:b w:val="0"/>
          <w:i w:val="0"/>
          <w:sz w:val="24"/>
        </w:rPr>
        <w:t xml:space="preserve"> Согласно пункту 1 статьи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Проценты на сумму провозной платы за период с «[дата]» по «[дата]» составляют [сумма] рублей.</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785, 790 ГК РФ, статьями 35, 36 Устава автомобильного транспорта,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