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оказанных до отказа услуг и фактически понесённых исполнителем расходов в связи с односторонним отказом заказчика от договора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оказанных до отказа услуг и фактически понесённых исполнителем расходов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1 статьи 782 ГК РФ: при отказе от договора заказчик обязан оплатить оказанные услуги и фактически понесённые исполнителем расходы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Право заказчика на отказ и условие о возмещении расходов.</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Отказ ответчика правомерен, но реализуется именно при условии оплаты исполнителю фактически понесённых расходов.</w:t>
      </w:r>
    </w:p>
    <w:p>
      <w:pPr>
        <w:spacing w:after="120" w:line="276" w:lineRule="auto"/>
        <w:ind w:firstLine="709"/>
        <w:jc w:val="both"/>
      </w:pPr>
      <w:r>
        <w:rPr>
          <w:rFonts w:ascii="Times New Roman" w:hAnsi="Times New Roman"/>
          <w:b/>
          <w:i w:val="0"/>
          <w:sz w:val="24"/>
        </w:rPr>
        <w:t>Прекращение договора.</w:t>
      </w:r>
      <w:r>
        <w:rPr>
          <w:rFonts w:ascii="Times New Roman" w:hAnsi="Times New Roman"/>
          <w:b w:val="0"/>
          <w:i w:val="0"/>
          <w:sz w:val="24"/>
        </w:rPr>
        <w:t xml:space="preserve">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прекращён «[дата]».</w:t>
      </w:r>
    </w:p>
    <w:p>
      <w:pPr>
        <w:spacing w:after="120" w:line="276" w:lineRule="auto"/>
        <w:ind w:firstLine="709"/>
        <w:jc w:val="both"/>
      </w:pPr>
      <w:r>
        <w:rPr>
          <w:rFonts w:ascii="Times New Roman" w:hAnsi="Times New Roman"/>
          <w:b/>
          <w:i w:val="0"/>
          <w:sz w:val="24"/>
        </w:rPr>
        <w:t>Оплата оказанной до отказа части услуг.</w:t>
      </w:r>
      <w:r>
        <w:rPr>
          <w:rFonts w:ascii="Times New Roman" w:hAnsi="Times New Roman"/>
          <w:b w:val="0"/>
          <w:i w:val="0"/>
          <w:sz w:val="24"/>
        </w:rPr>
        <w:t xml:space="preserve"> Пунктом 1 статьи 781 ГК РФ предусмотрено: «Заказчик обязан оплатить оказанные ему услуги в сроки и в порядке, которые указаны в договоре возмездного оказания услуг.» Услуги на сумму [сумма] рублей оказаны до получения уведомления об отказе и подлежат оплате в полном объёме.</w:t>
      </w:r>
    </w:p>
    <w:p>
      <w:pPr>
        <w:spacing w:after="120" w:line="276" w:lineRule="auto"/>
        <w:ind w:firstLine="709"/>
        <w:jc w:val="both"/>
      </w:pPr>
      <w:r>
        <w:rPr>
          <w:rFonts w:ascii="Times New Roman" w:hAnsi="Times New Roman"/>
          <w:b/>
          <w:i w:val="0"/>
          <w:sz w:val="24"/>
        </w:rPr>
        <w:t>Состав фактических расходов.</w:t>
      </w:r>
      <w:r>
        <w:rPr>
          <w:rFonts w:ascii="Times New Roman" w:hAnsi="Times New Roman"/>
          <w:b w:val="0"/>
          <w:i w:val="0"/>
          <w:sz w:val="24"/>
        </w:rPr>
        <w:t xml:space="preserve"> В фактические расходы включаются затраты, понесённые исполнителем в целях исполнения Договора до получения уведомления об отказе: [перечень с суммами]. Они подтверждены договорами с третьими лицами, платёжными документами и расчётами. Расходы непосредственно связаны с исполнением Договора и не могут быть использованы для других заказов.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Невозможность исполнения по вине заказчика.</w:t>
      </w:r>
      <w:r>
        <w:rPr>
          <w:rFonts w:ascii="Times New Roman" w:hAnsi="Times New Roman"/>
          <w:b w:val="0"/>
          <w:i w:val="0"/>
          <w:sz w:val="24"/>
        </w:rPr>
        <w:t xml:space="preserve"> [Если отказ сделан в последний момент:] Пунктом 2 статьи 781 ГК РФ установлено: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450.1, 779, 781, 782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