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расходов на устранение недостатков выполненных работ</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расходов на устранение недостатков выполненных работ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723 и 754 ГК РФ: недостатки работ подтверждены экспертизой, подрядчик их не устранил, поэтому заказчик вправе взыскать расходы на устранение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Качество работ.</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Согласно пункту 1 статьи 754 ГК РФ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pPr>
        <w:spacing w:after="120" w:line="276" w:lineRule="auto"/>
        <w:ind w:firstLine="709"/>
        <w:jc w:val="both"/>
      </w:pPr>
      <w:r>
        <w:rPr>
          <w:rFonts w:ascii="Times New Roman" w:hAnsi="Times New Roman"/>
          <w:b/>
          <w:i w:val="0"/>
          <w:sz w:val="24"/>
        </w:rPr>
        <w:t>Права заказчика при некачественной работе.</w:t>
      </w:r>
      <w:r>
        <w:rPr>
          <w:rFonts w:ascii="Times New Roman" w:hAnsi="Times New Roman"/>
          <w:b w:val="0"/>
          <w:i w:val="0"/>
          <w:sz w:val="24"/>
        </w:rPr>
        <w:t xml:space="preserve"> Пунктом 1 статьи 723 ГК РФ установлено: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Право заказчика устранять недостатки за счёт подрядчика прямо предусмотрено пунктом [__] Договора. Пунктом 3 той же статьи предусмотрено: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pPr>
        <w:spacing w:after="120" w:line="276" w:lineRule="auto"/>
        <w:ind w:firstLine="709"/>
        <w:jc w:val="both"/>
      </w:pPr>
      <w:r>
        <w:rPr>
          <w:rFonts w:ascii="Times New Roman" w:hAnsi="Times New Roman"/>
          <w:b/>
          <w:i w:val="0"/>
          <w:sz w:val="24"/>
        </w:rPr>
        <w:t>Исполнение обязательства за счёт должника.</w:t>
      </w:r>
      <w:r>
        <w:rPr>
          <w:rFonts w:ascii="Times New Roman" w:hAnsi="Times New Roman"/>
          <w:b w:val="0"/>
          <w:i w:val="0"/>
          <w:sz w:val="24"/>
        </w:rPr>
        <w:t xml:space="preserve"> Статьёй 397 ГК РФ установлено: «В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 Цена работ по устранению недостатков разумна и соответствует рыночной [подтверждается коммерческими предложениями / сметным расчётом].</w:t>
      </w:r>
    </w:p>
    <w:p>
      <w:pPr>
        <w:spacing w:after="120" w:line="276" w:lineRule="auto"/>
        <w:ind w:firstLine="709"/>
        <w:jc w:val="both"/>
      </w:pPr>
      <w:r>
        <w:rPr>
          <w:rFonts w:ascii="Times New Roman" w:hAnsi="Times New Roman"/>
          <w:b/>
          <w:i w:val="0"/>
          <w:sz w:val="24"/>
        </w:rPr>
        <w:t>Недостатки заявлены своевременно.</w:t>
      </w:r>
      <w:r>
        <w:rPr>
          <w:rFonts w:ascii="Times New Roman" w:hAnsi="Times New Roman"/>
          <w:b w:val="0"/>
          <w:i w:val="0"/>
          <w:sz w:val="24"/>
        </w:rPr>
        <w:t xml:space="preserve"> [Если недостатки явные:] В силу пункта 2 статьи 720 ГК РФ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 Недостатки оговорены в акте. [Если скрытые:] Пунктом 4 статьи 720 ГК РФ предусмотрено: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 Истец известил ответчика через [__] дней после обнаружения.</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Пунктом 5 статьи 720 ГК РФ предусмотрено: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Истец [провёл досудебную экспертизу — заключение от «[дата]» № [__]] и не возражает против назначения судебной экспертизы.</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Расходы на досудебное исследование также являются убытками истца, понесёнными для восстановления нарушенного права.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721, 723, 724, 754, 755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