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подрядчик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стоимости работ, выполненных до отказа заказчика от договора подряда, и убытков, причинённых прекращением договора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стоимости работ, выполненных до отказа заказчика от договора подряда, и убытков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717 ГК РФ: при отказе от договора заказчик обязан оплатить выполненную часть работ и возместить убытки подрядчика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Отказ заказчика от договора и его последствия.</w:t>
      </w:r>
      <w:r>
        <w:rPr>
          <w:rFonts w:ascii="Times New Roman" w:hAnsi="Times New Roman"/>
          <w:b w:val="0"/>
          <w:i w:val="0"/>
          <w:sz w:val="24"/>
        </w:rPr>
        <w:t xml:space="preserve"> Статьёй 717 ГК РФ установлено: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Нарушений Договора со стороны истца не было, отказ ответчика не мотивирован нарушениями подрядчика, поэтому он квалифицируется по статье 717 ГК РФ.</w:t>
      </w:r>
    </w:p>
    <w:p>
      <w:pPr>
        <w:spacing w:after="120" w:line="276" w:lineRule="auto"/>
        <w:ind w:firstLine="709"/>
        <w:jc w:val="both"/>
      </w:pPr>
      <w:r>
        <w:rPr>
          <w:rFonts w:ascii="Times New Roman" w:hAnsi="Times New Roman"/>
          <w:b w:val="0"/>
          <w:i w:val="0"/>
          <w:sz w:val="24"/>
        </w:rPr>
        <w:t>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Договор прекращён «[дата]».</w:t>
      </w:r>
    </w:p>
    <w:p>
      <w:pPr>
        <w:spacing w:after="120" w:line="276" w:lineRule="auto"/>
        <w:ind w:firstLine="709"/>
        <w:jc w:val="both"/>
      </w:pPr>
      <w:r>
        <w:rPr>
          <w:rFonts w:ascii="Times New Roman" w:hAnsi="Times New Roman"/>
          <w:b/>
          <w:i w:val="0"/>
          <w:sz w:val="24"/>
        </w:rPr>
        <w:t>Оплата выполненной части работ.</w:t>
      </w:r>
      <w:r>
        <w:rPr>
          <w:rFonts w:ascii="Times New Roman" w:hAnsi="Times New Roman"/>
          <w:b w:val="0"/>
          <w:i w:val="0"/>
          <w:sz w:val="24"/>
        </w:rPr>
        <w:t xml:space="preserve"> Работы на сумму [сумма] рублей выполнены до получения извещения об отказе. Акты КС-2 направлены ответчику; мотивированных возражений по ним не поступило. Пунктом 4 статьи 753 ГК РФ предусмотрено: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Статьёй 729 ГК РФ установлено: «В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w:t>
      </w:r>
    </w:p>
    <w:p>
      <w:pPr>
        <w:spacing w:after="120" w:line="276" w:lineRule="auto"/>
        <w:ind w:firstLine="709"/>
        <w:jc w:val="both"/>
      </w:pPr>
      <w:r>
        <w:rPr>
          <w:rFonts w:ascii="Times New Roman" w:hAnsi="Times New Roman"/>
          <w:b/>
          <w:i w:val="0"/>
          <w:sz w:val="24"/>
        </w:rPr>
        <w:t>Убытки подрядчика.</w:t>
      </w:r>
      <w:r>
        <w:rPr>
          <w:rFonts w:ascii="Times New Roman" w:hAnsi="Times New Roman"/>
          <w:b w:val="0"/>
          <w:i w:val="0"/>
          <w:sz w:val="24"/>
        </w:rPr>
        <w:t xml:space="preserve"> Статья 717 ГК РФ обязывает заказчика возместить убытки в пределах разницы между ценой всей работы и частью цены, выплаченной за выполненную работу.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Убытки истца составляют: стоимость закупленных для объекта материалов, которые не могут быть использованы иначе, — [сумма] рублей; неустойки, уплаченные субподрядчикам и поставщикам в связи с расторжением, — [сумма] рублей; [упущенная выгода — плановая прибыль по смете на невыполненную часть работ — [сумма] рублей]. Всего — [сумма] рублей, что не превышает предела, установленного статьёй 717 ГК РФ ([цена Договора] − [стоимость выполненных работ] = [сумма]).</w:t>
      </w:r>
    </w:p>
    <w:p>
      <w:pPr>
        <w:spacing w:after="120" w:line="276" w:lineRule="auto"/>
        <w:ind w:firstLine="709"/>
        <w:jc w:val="both"/>
      </w:pPr>
      <w:r>
        <w:rPr>
          <w:rFonts w:ascii="Times New Roman" w:hAnsi="Times New Roman"/>
          <w:b/>
          <w:i w:val="0"/>
          <w:sz w:val="24"/>
        </w:rPr>
        <w:t>Встречное исполнение.</w:t>
      </w:r>
      <w:r>
        <w:rPr>
          <w:rFonts w:ascii="Times New Roman" w:hAnsi="Times New Roman"/>
          <w:b w:val="0"/>
          <w:i w:val="0"/>
          <w:sz w:val="24"/>
        </w:rPr>
        <w:t xml:space="preserve"> Пунктом 2 статьи 718 ГК РФ предусмотрено: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 Истец готов передать ответчику материалы, закупленные для объекта, после их оплаты.</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450.1, 717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