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сетевая организация (гарантирующий поставщик)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потребитель: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[безучётного / бездоговорного] потребления электрической энергии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безучётного (бездоговорного) потребления электрической энергии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Основные положения функционирования розничных рынков: акт о неучтённом потреблении составлен в установленном порядке, а вмешательство в работу прибора учёта подтверждено [видеозаписью, экспертизой] (части 1 и 2 статьи 288 АПК РФ).</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i w:val="0"/>
          <w:sz w:val="24"/>
        </w:rPr>
        <w:t>Обязанности абонента.</w:t>
      </w:r>
      <w:r>
        <w:rPr>
          <w:rFonts w:ascii="Times New Roman" w:hAnsi="Times New Roman"/>
          <w:b w:val="0"/>
          <w:i w:val="0"/>
          <w:sz w:val="24"/>
        </w:rPr>
        <w:t xml:space="preserve"> Пунктом 1 статьи 543 ГК РФ установлено: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 Согласно пункту 2 статьи 539 ГК РФ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pPr>
        <w:spacing w:after="120" w:line="276" w:lineRule="auto"/>
        <w:ind w:firstLine="709"/>
        <w:jc w:val="both"/>
      </w:pPr>
      <w:r>
        <w:rPr>
          <w:rFonts w:ascii="Times New Roman" w:hAnsi="Times New Roman"/>
          <w:b/>
          <w:i w:val="0"/>
          <w:sz w:val="24"/>
        </w:rPr>
        <w:t>Оплата по данным учёта и расчётные способы.</w:t>
      </w:r>
      <w:r>
        <w:rPr>
          <w:rFonts w:ascii="Times New Roman" w:hAnsi="Times New Roman"/>
          <w:b w:val="0"/>
          <w:i w:val="0"/>
          <w:sz w:val="24"/>
        </w:rPr>
        <w:t xml:space="preserve"> Пунктом 1 статьи 544 ГК РФ предусмотрено: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При безучётном потреблении данные учёта недостоверны по вине потребителя, поэтому объём определяется расчётным способом, установленным Основными положениями функционирования розничных рынков электрической энергии, — по максимальной мощности и числу часов за период с даты предыдущей проверки, но не более установленного срока [изложено своими словами — укажите пункты Основных положений, действующие на дату проверки].</w:t>
      </w:r>
    </w:p>
    <w:p>
      <w:pPr>
        <w:spacing w:after="120" w:line="276" w:lineRule="auto"/>
        <w:ind w:firstLine="709"/>
        <w:jc w:val="both"/>
      </w:pPr>
      <w:r>
        <w:rPr>
          <w:rFonts w:ascii="Times New Roman" w:hAnsi="Times New Roman"/>
          <w:b/>
          <w:i w:val="0"/>
          <w:sz w:val="24"/>
        </w:rPr>
        <w:t>Бездоговорное потребление как неосновательное обогащение.</w:t>
      </w:r>
      <w:r>
        <w:rPr>
          <w:rFonts w:ascii="Times New Roman" w:hAnsi="Times New Roman"/>
          <w:b w:val="0"/>
          <w:i w:val="0"/>
          <w:sz w:val="24"/>
        </w:rPr>
        <w:t xml:space="preserve"> [Для бездоговорного:]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статьи 1105 ГК РФ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pPr>
        <w:spacing w:after="120" w:line="276" w:lineRule="auto"/>
        <w:ind w:firstLine="709"/>
        <w:jc w:val="both"/>
      </w:pPr>
      <w:r>
        <w:rPr>
          <w:rFonts w:ascii="Times New Roman" w:hAnsi="Times New Roman"/>
          <w:b/>
          <w:i w:val="0"/>
          <w:sz w:val="24"/>
        </w:rPr>
        <w:t>Акт как доказательство.</w:t>
      </w:r>
      <w:r>
        <w:rPr>
          <w:rFonts w:ascii="Times New Roman" w:hAnsi="Times New Roman"/>
          <w:b w:val="0"/>
          <w:i w:val="0"/>
          <w:sz w:val="24"/>
        </w:rPr>
        <w:t xml:space="preserve"> Акт составлен уполномоченными лицами, содержит все сведения, предусмотренные Основными положениями: данные о потребителе, способ и место нарушения, сведения о приборах учёта, объяснения лица. Ответчик был уведомлён о проверке «[дата]» [проверка внеплановая с допуском потребителя].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539, 543, 544, 1102 ГК РФ, Федеральным законом «Об электроэнергетике»,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