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возмещении убытков, причинённых утратой (повреждением) вещи, переданной на хранение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возмещении убытков, причинённых утратой (повреждением) вещи, переданной на хранение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891, 901 и 902 ГК РФ: хранитель обязан обеспечить сохранность вещи и отвечает за её утрату, если не докажет, что она произошла вследствие непреодолимой силы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хранения.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886 Гражданского кодекса Российской Федерации (далее — ГК РФ) «По договору хранения одна сторона (хранитель) обязуется хранить вещь, переданную ей другой стороной (поклажедателем), и возвратить эту вещь в сохранности.» Пунктом 2 статьи 887 ГК РФ установлено: «Простая письменная форма договора хранения считается соблюденной, если принятие вещи на хранение удостоверено хранителем выдачей поклажедателю:» «сохранной расписки, квитанции, свидетельства или иного документа, подписанного хранителем» Договор между сторонами заключён: Вещь принята ответчиком, что удостоверено [распиской / квитанцией]. [Если письменной формы нет:] В силу пункта 3 той же статьи «Несоблюдение простой письменной формы договора хранения не лишает стороны права ссылаться на свидетельские показания в случае спора о тождестве вещи, принятой на хранение, и вещи, возвращенной хранителем.»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хранителя.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891 ГК РФ предусмотрено: «Хранитель обязан принять все предусмотренные договором хранения меры для того, чтобы обеспечить сохранность переданной на хранение вещи.» [Для безвозмездного хранения:] «Если хранение осуществляется безвозмездно, хранитель обязан заботиться о принятой на хранение вещи не менее, чем о своих вещах.» Согласно пункту 1 статьи 900 ГК РФ «Хранитель обязан возвратить поклажедателю или лицу, указанному им в качестве получателя, ту самую вещь, которая была передана на хранение, если договором не предусмотрено хранение с обезличением (статья 890).» Пунктом 2 той же статьи установлено: «Вещь должна быть возвращена хранителем в том состоянии, в каком она была принята на хранение, с учетом ее естественного ухудшения, естественной убыли или иного изменения вследствие ее естественных свойств.»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901 ГК РФ «Хранитель отвечает за утрату, недостачу или повреждение вещей, принятых на хранение, по основаниям, предусмотренным статьей 401 настоящего Кодекса.» [Если хранитель — предприниматель или организация, осуществляющая хранение профессионально:] «Профессиональный хранитель отвечает за утрату, недостачу или повреждение вещей, если не докажет, что утрата, недостача или повреждение произошли вследствие непреодолимой силы, либо из-за свойств вещи, о которых хранитель, принимая ее на хранение, не знал и не должен был знать, либо в результате умысла или грубой неосторожности поклажедателя.» Пунктом 2 статьи 401 ГК РФ установлено: «Отсутствие вины доказывается лицом, нарушившим обязательство.»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не доказал, что принял все меры для сохранности Вещи; напротив, [указать: Вещь хранилась в незапертом помещении; передана третьему лицу без согласия истца; хранилась с нарушением условий, оговорённых сторонами].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902 ГК РФ «Убытки, причиненные поклажедателю утратой, недостачей или повреждением вещей, возмещаются хранителем в соответствии со статьей 393 настоящего Кодекса, если законом или договором хранения не предусмотрено иное.» [Для безвозмездного хранения:] пунктом 2 той же статьи установлено: «2. При безвозмездном хранении убытки, причиненные поклажедателю утратой, недостачей или повреждением вещей, возмещаются: 1) за утрату и недостачу вещей - в размере стоимости утраченных или недостающих вещей; 2) за повреждение вещей - в размере суммы, на которую понизилась их стоимость.» Пунктом 1 статьи 393 ГК РФ предусмотрено: «Должник обязан возместить кредитору убытки, причиненные неисполнением или ненадлежащим исполнением обязательства.» В силу пункта 2 статьи 15 ГК РФ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196 ГК РФ «Общий срок исковой давности составляет три года со дня, определяемого в соответствии со статьей 200 настоящего Кодекса.» При этом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 Срок для обращения в суд истекает «[дата]», поэтому настоящий иск предъявлен своевременно.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886, 891, 901, 902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