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страхователь (выгодоприобретатель)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страхового возмещения по договору страхования грузов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страхового возмещения по договору (генеральному полису) страхования грузов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929, 941 и 943 ГК РФ: груз застрахован по генеральному полису, утрата [повреждение] произошла в период страхования, а исключения из покрытия не применимы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имущественного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929 Гражданского кодекса Российской Федерации (далее — ГК РФ) установлено: «По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(выгодоприобретателю),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суммы).» Согласно пункту 1 статьи 930 ГК РФ «Имущество может быть застраховано по договору страхования в пользу лица (страхователя или выгодоприобретателя), имеющего основанный на законе, ином правовом акте или договоре интерес в сохранении этого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Правила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943 ГК РФ предусмотрено: «Условия,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договоре.» Согласно пункту 4 той же статьи «Страхователь (выгодоприобретатель) вправе ссылаться в защиту своих интересов на правила страхования соответствующего вида, на которые имеется ссылка в договоре страхования (страховом полисе), даже если эти правила в силу настоящей статьи для него необязательны.»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страховщика.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961 ГК РФ установлено: «Страхователь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страховщика или его представителя. Если договором предусмотрен срок и (или) способ уведомления, оно должно быть сделано в условленный срок и указанным в договоре способом.» Истец уведомил ответчика «[дата]», то есть в срок, установленный договором. Согласно пункту 2 той же статьи «Неисполнение обязанности, предусмотренной пунктом 1 настоящей статьи,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Страховой интерес.</w:t>
      </w:r>
      <w:r>
        <w:rPr>
          <w:rFonts w:ascii="Times New Roman" w:hAnsi="Times New Roman"/>
          <w:b w:val="0"/>
          <w:i w:val="0"/>
          <w:sz w:val="24"/>
        </w:rPr>
        <w:t xml:space="preserve"> Истец как [собственник груза / лицо, несущее риск его гибели по условиям поставки] имеет интерес в сохранении груза. Пунктом 3 статьи 930 ГК РФ также допускается страхование «за счёт кого следует»: «Договор страхования имущества в пользу выгодоприобретателя может быть заключен без указания имени или наименования выгодоприобретателя (страхование "за счет кого следует").»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освобождения страховщика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963 ГК РФ установлено: «Страховщик освобождается от выплаты страхового возмещения или страховой суммы, если страховой случай наступил вследствие умысла страхователя, выгодоприобретателя или застрахованного лица, за исключением случаев, предусмотренных пунктами 2 и 3 настоящей статьи.» Умысла страхователя нет. Основания, перечисленные в пункте 1 статьи 964 ГК РФ («Если законом или договором страхования не предусмотрено иное, страховщик освобождается от выплаты страхового возмещения и страховой суммы, когда страховой случай наступил вследствие:» «воздействия ядерного взрыва, радиации или радиоактивного заражения»; «военных действий, а также маневров или иных военных мероприятий»; «гражданской войны, народных волнений всякого рода или забастовок.»), не наступили. Исключения из страхового покрытия, на которые ссылается ответчик, в договоре [не предусмотрены / сформулированы так, что к данному событию не относятся].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возмещения.</w:t>
      </w:r>
      <w:r>
        <w:rPr>
          <w:rFonts w:ascii="Times New Roman" w:hAnsi="Times New Roman"/>
          <w:b w:val="0"/>
          <w:i w:val="0"/>
          <w:sz w:val="24"/>
        </w:rPr>
        <w:t xml:space="preserve"> Страховая сумма равна инвойсной стоимости груза; страховая стоимость не может быть оспорена (статья 948 ГК РФ: «Страховая стоимость имущества, указанная в договоре страхования, не может быть впоследствии оспорена, за исключением случая, когда страховщик, не воспользовавшийся до заключения договора своим правом на оценку страхового риска (пункт 1 статьи 945), был умышленно введен в заблуждение относительно этой стоимости.»).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уменьшение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[Если были:] Пунктом 2 статьи 962 ГК РФ установлено: «Расходы в целях уменьшения убытков, подлежащих возмещению страховщиком, если такие расходы были необходимы или были произведены для выполнения указаний страховщика, должны быть возмещены страховщиком, даже если соответствующие меры оказались безуспешными.»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просрочку выплаты.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Суброгация к перевозчику не препятствует выплате.</w:t>
      </w:r>
      <w:r>
        <w:rPr>
          <w:rFonts w:ascii="Times New Roman" w:hAnsi="Times New Roman"/>
          <w:b w:val="0"/>
          <w:i w:val="0"/>
          <w:sz w:val="24"/>
        </w:rPr>
        <w:t xml:space="preserve"> Наличие у истца права требования к перевозчику не освобождает ответчика: после выплаты это право перейдёт к нему (пункт 1 статьи 965 ГК РФ: «Если договором имущественного страхования не предусмотрено иное, к страховщику, выплатившему страховое возмещение, переходит в пределах выплаченной суммы право требования, которое страхователь (выгодоприобретатель) имеет к лицу, ответственному за убытки, возмещенные в результате страхования. Однако условие договора, исключающее переход к страховщику права требования к лицу, умышленно причинившему убытки, ничтожно.»).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929, 941, 943, 961, 963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