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бенефициар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гарант: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денежной суммы по независимой гарантии и неустойки за просрочку платежа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денежной суммы по независимой гарантии и неустойки за просрочку платежа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370, 374 и 376 ГК РФ: требование бенефициара соответствует условиям гарантии, а гарант не вправе отказать по основаниям из основного обязательства (части 1 и 2 статьи 288 АПК РФ).</w:t>
      </w:r>
    </w:p>
    <w:p>
      <w:pPr>
        <w:spacing w:after="120" w:line="276" w:lineRule="auto"/>
        <w:ind w:firstLine="709"/>
        <w:jc w:val="both"/>
      </w:pPr>
      <w:r>
        <w:rPr>
          <w:rFonts w:ascii="Times New Roman" w:hAnsi="Times New Roman"/>
          <w:b/>
          <w:i w:val="0"/>
          <w:sz w:val="24"/>
        </w:rPr>
        <w:t>Независимая гарантия.</w:t>
      </w:r>
      <w:r>
        <w:rPr>
          <w:rFonts w:ascii="Times New Roman" w:hAnsi="Times New Roman"/>
          <w:b w:val="0"/>
          <w:i w:val="0"/>
          <w:sz w:val="24"/>
        </w:rPr>
        <w:t xml:space="preserve"> Пунктом 1 статьи 368 Гражданского кодекса Российской Федерации (далее — ГК РФ) установлено: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 Согласно пункту 1 статьи 370 ГК РФ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spacing w:after="120" w:line="276" w:lineRule="auto"/>
        <w:ind w:firstLine="709"/>
        <w:jc w:val="both"/>
      </w:pPr>
      <w:r>
        <w:rPr>
          <w:rFonts w:ascii="Times New Roman" w:hAnsi="Times New Roman"/>
          <w:b/>
          <w:i w:val="0"/>
          <w:sz w:val="24"/>
        </w:rPr>
        <w:t>Недопустимость возражений из основного обязательства.</w:t>
      </w:r>
      <w:r>
        <w:rPr>
          <w:rFonts w:ascii="Times New Roman" w:hAnsi="Times New Roman"/>
          <w:b w:val="0"/>
          <w:i w:val="0"/>
          <w:sz w:val="24"/>
        </w:rPr>
        <w:t xml:space="preserve"> Пунктом 2 статьи 370 ГК РФ установлено: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pPr>
        <w:spacing w:after="120" w:line="276" w:lineRule="auto"/>
        <w:ind w:firstLine="709"/>
        <w:jc w:val="both"/>
      </w:pPr>
      <w:r>
        <w:rPr>
          <w:rFonts w:ascii="Times New Roman" w:hAnsi="Times New Roman"/>
          <w:b/>
          <w:i w:val="0"/>
          <w:sz w:val="24"/>
        </w:rPr>
        <w:t>Представление требования.</w:t>
      </w:r>
      <w:r>
        <w:rPr>
          <w:rFonts w:ascii="Times New Roman" w:hAnsi="Times New Roman"/>
          <w:b w:val="0"/>
          <w:i w:val="0"/>
          <w:sz w:val="24"/>
        </w:rPr>
        <w:t xml:space="preserve"> Пунктом 1 статьи 374 ГК РФ предусмотрено: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 Согласно пункту 2 той же статьи «Требование бенефициара должно быть представлено гаранту до окончания срока действия независимой гарантии.» Требование представлено в письменной форме, с документами по перечню гарантии и до окончания её срока.</w:t>
      </w:r>
    </w:p>
    <w:p>
      <w:pPr>
        <w:spacing w:after="120" w:line="276" w:lineRule="auto"/>
        <w:ind w:firstLine="709"/>
        <w:jc w:val="both"/>
      </w:pPr>
      <w:r>
        <w:rPr>
          <w:rFonts w:ascii="Times New Roman" w:hAnsi="Times New Roman"/>
          <w:b/>
          <w:i w:val="0"/>
          <w:sz w:val="24"/>
        </w:rPr>
        <w:t>Обязанности гаранта.</w:t>
      </w:r>
      <w:r>
        <w:rPr>
          <w:rFonts w:ascii="Times New Roman" w:hAnsi="Times New Roman"/>
          <w:b w:val="0"/>
          <w:i w:val="0"/>
          <w:sz w:val="24"/>
        </w:rPr>
        <w:t xml:space="preserve"> Пунктом 2 статьи 375 ГК РФ установлено: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Согласно пункту 3 той же статьи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pPr>
        <w:spacing w:after="120" w:line="276" w:lineRule="auto"/>
        <w:ind w:firstLine="709"/>
        <w:jc w:val="both"/>
      </w:pPr>
      <w:r>
        <w:rPr>
          <w:rFonts w:ascii="Times New Roman" w:hAnsi="Times New Roman"/>
          <w:b/>
          <w:i w:val="0"/>
          <w:sz w:val="24"/>
        </w:rPr>
        <w:t>Основания для отказа отсутствуют.</w:t>
      </w:r>
      <w:r>
        <w:rPr>
          <w:rFonts w:ascii="Times New Roman" w:hAnsi="Times New Roman"/>
          <w:b w:val="0"/>
          <w:i w:val="0"/>
          <w:sz w:val="24"/>
        </w:rPr>
        <w:t xml:space="preserve"> Пунктом 1 статьи 376 ГК РФ предусмотрено: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Требование соответствует условиям гарантии, а ссылки ответчика на [формальные расхождения, не влияющие на существо] не являются основанием для отказа. Пунктом 5 той же статьи установлено: «По истечении срока, предусмотренного пунктом 2 настоящей статьи, при отсутствии оснований для отказа в удовлетворении требования бенефициара (пункт 1 настоящей статьи) гарант обязан произвести платеж по гарантии.»</w:t>
      </w:r>
    </w:p>
    <w:p>
      <w:pPr>
        <w:spacing w:after="120" w:line="276" w:lineRule="auto"/>
        <w:ind w:firstLine="709"/>
        <w:jc w:val="both"/>
      </w:pPr>
      <w:r>
        <w:rPr>
          <w:rFonts w:ascii="Times New Roman" w:hAnsi="Times New Roman"/>
          <w:b/>
          <w:i w:val="0"/>
          <w:sz w:val="24"/>
        </w:rPr>
        <w:t>Ответственность гаранта.</w:t>
      </w:r>
      <w:r>
        <w:rPr>
          <w:rFonts w:ascii="Times New Roman" w:hAnsi="Times New Roman"/>
          <w:b w:val="0"/>
          <w:i w:val="0"/>
          <w:sz w:val="24"/>
        </w:rPr>
        <w:t xml:space="preserve"> Пунктом 2 статьи 377 ГК РФ предусмотрено: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 Гарантией предусмотрена неустойка [0,1] % в день за просрочку платежа [при отсутствии — проценты по статье 395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368, 370, 374, 375, 376, 377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