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кредитор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должник: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убытков, причинённых неисполнением (ненадлежащим исполнением) договора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(реального ущерба и упущенной выгоды), причинённых неисполнением договора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15, 393 и 393.1 ГК РФ: факт нарушения, убытки и причинная связь доказаны, а размер убытков установлен с разумной степенью достоверности (части 1 и 2 статьи 288 АПК РФ).</w:t>
      </w:r>
    </w:p>
    <w:p>
      <w:pPr>
        <w:spacing w:after="120" w:line="276" w:lineRule="auto"/>
        <w:ind w:firstLine="709"/>
        <w:jc w:val="both"/>
      </w:pPr>
      <w:r>
        <w:rPr>
          <w:rFonts w:ascii="Times New Roman" w:hAnsi="Times New Roman"/>
          <w:b/>
          <w:i w:val="0"/>
          <w:sz w:val="24"/>
        </w:rPr>
        <w:t>Убытки от нарушения обязательства.</w:t>
      </w:r>
      <w:r>
        <w:rPr>
          <w:rFonts w:ascii="Times New Roman" w:hAnsi="Times New Roman"/>
          <w:b w:val="0"/>
          <w:i w:val="0"/>
          <w:sz w:val="24"/>
        </w:rPr>
        <w:t xml:space="preserve"> Пунктом 1 статьи 393 ГК РФ установлено: «Должник обязан возместить кредитору убытки, причиненные неисполнением или ненадлежащим исполнением обязательства.» Согласно пункту 2 той же статьи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5 статьи 393 ГК РФ предусмотрено: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пункту 2 той же статьи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Упущенная выгода.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предпринял все приготовления к получению дохода: [заключил договор с покупателем, закупил сырьё, зарезервировал мощности]; именно нарушение ответчика стало единственным препятствием.</w:t>
      </w:r>
    </w:p>
    <w:p>
      <w:pPr>
        <w:spacing w:after="120" w:line="276" w:lineRule="auto"/>
        <w:ind w:firstLine="709"/>
        <w:jc w:val="both"/>
      </w:pPr>
      <w:r>
        <w:rPr>
          <w:rFonts w:ascii="Times New Roman" w:hAnsi="Times New Roman"/>
          <w:b/>
          <w:i w:val="0"/>
          <w:sz w:val="24"/>
        </w:rPr>
        <w:t>Причинная связь.</w:t>
      </w:r>
      <w:r>
        <w:rPr>
          <w:rFonts w:ascii="Times New Roman" w:hAnsi="Times New Roman"/>
          <w:b w:val="0"/>
          <w:i w:val="0"/>
          <w:sz w:val="24"/>
        </w:rPr>
        <w:t xml:space="preserve"> Между нарушением ответчика и убытками истца существует прямая причинная связь: [объяснение]. Иных причин, которые неизбежно привели бы к тем же убыткам, не было.</w:t>
      </w:r>
    </w:p>
    <w:p>
      <w:pPr>
        <w:spacing w:after="120" w:line="276" w:lineRule="auto"/>
        <w:ind w:firstLine="709"/>
        <w:jc w:val="both"/>
      </w:pPr>
      <w:r>
        <w:rPr>
          <w:rFonts w:ascii="Times New Roman" w:hAnsi="Times New Roman"/>
          <w:b/>
          <w:i w:val="0"/>
          <w:sz w:val="24"/>
        </w:rPr>
        <w:t>Ответственность без вины.</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Соотношение с неустойкой.</w:t>
      </w:r>
      <w:r>
        <w:rPr>
          <w:rFonts w:ascii="Times New Roman" w:hAnsi="Times New Roman"/>
          <w:b w:val="0"/>
          <w:i w:val="0"/>
          <w:sz w:val="24"/>
        </w:rPr>
        <w:t xml:space="preserve"> [Если в Договоре есть неустойка:] Пунктом 1 статьи 394 ГК РФ предусмотрено: «Если за неисполнение или ненадлежащее исполнение обязательства установлена неустойка, то убытки возмещаются в части, не покрытой неустойкой.» Убытки заявлены в части, не покрытой неустойкой [договор предусматривает взыскание убытков сверх неустойки].</w:t>
      </w:r>
    </w:p>
    <w:p>
      <w:pPr>
        <w:spacing w:after="120" w:line="276" w:lineRule="auto"/>
        <w:ind w:firstLine="709"/>
        <w:jc w:val="both"/>
      </w:pPr>
      <w:r>
        <w:rPr>
          <w:rFonts w:ascii="Times New Roman" w:hAnsi="Times New Roman"/>
          <w:b/>
          <w:i w:val="0"/>
          <w:sz w:val="24"/>
        </w:rPr>
        <w:t>Отсутствие вины кредитора.</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Истец принял разумные меры к уменьшению убытков: [описание].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393.1, 404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