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государственный (муниципальный)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убытков, причинённых незаконным односторонним отказом заказчика от исполнения контракта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убытков, причинённых незаконным односторонним отказом заказчика от исполнения контракта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15 и 393 ГК РФ: односторонний отказ заказчика признан незаконным, а поставщик понёс убытки, находящиеся в прямой причинной связи с ним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Отказ допустим только по основаниям ГК РФ.</w:t>
      </w:r>
      <w:r>
        <w:rPr>
          <w:rFonts w:ascii="Times New Roman" w:hAnsi="Times New Roman"/>
          <w:b w:val="0"/>
          <w:i w:val="0"/>
          <w:sz w:val="24"/>
        </w:rPr>
        <w:t xml:space="preserve"> Частью 9 статьи 95 Закона № 44-ФЗ установлено: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Таких оснований не было, что установлено [решением ФАС / суда].</w:t>
      </w:r>
    </w:p>
    <w:p>
      <w:pPr>
        <w:spacing w:after="120" w:line="276" w:lineRule="auto"/>
        <w:ind w:firstLine="709"/>
        <w:jc w:val="both"/>
      </w:pPr>
      <w:r>
        <w:rPr>
          <w:rFonts w:ascii="Times New Roman" w:hAnsi="Times New Roman"/>
          <w:b/>
          <w:i w:val="0"/>
          <w:sz w:val="24"/>
        </w:rPr>
        <w:t>Недопустимость одностороннего отказа.</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Пунктом 4 статьи 450.1 ГК РФ предусмотрено: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той же статьи установлено: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Упущенная выгода.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предпринял все приготовления к исполнению: [закупил материалы, мобилизовал персонал, частично выполнил работы]. Пунктом 5 той же статьи предусмотрено: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spacing w:after="120" w:line="276" w:lineRule="auto"/>
        <w:ind w:firstLine="709"/>
        <w:jc w:val="both"/>
      </w:pPr>
      <w:r>
        <w:rPr>
          <w:rFonts w:ascii="Times New Roman" w:hAnsi="Times New Roman"/>
          <w:b/>
          <w:i w:val="0"/>
          <w:sz w:val="24"/>
        </w:rPr>
        <w:t>Ответственность заказчика.</w:t>
      </w:r>
      <w:r>
        <w:rPr>
          <w:rFonts w:ascii="Times New Roman" w:hAnsi="Times New Roman"/>
          <w:b w:val="0"/>
          <w:i w:val="0"/>
          <w:sz w:val="24"/>
        </w:rPr>
        <w:t xml:space="preserve"> Пунктом 1 статьи 401 ГК РФ установлено: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Частью 5 статьи 34 Закона № 44-ФЗ предусмотрено: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450.1 ГК РФ, статьёй 95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