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ущерба, причинённого в результате дорожно-транспортного происшествия, в части, превышающей страховое возмещение</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ущерба, причинённого в результате дорожно-транспортного происшествия, в части, не покрытой страховым возмещением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15, 1064 и 1072 ГК РФ: страховое возмещение по ОСАГО не покрывает реального ущерба, и разницу обязан возместить причинитель вреда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Ответственность владельца источника повышенной опасности.</w:t>
      </w:r>
      <w:r>
        <w:rPr>
          <w:rFonts w:ascii="Times New Roman" w:hAnsi="Times New Roman"/>
          <w:b w:val="0"/>
          <w:i w:val="0"/>
          <w:sz w:val="24"/>
        </w:rPr>
        <w:t xml:space="preserve"> Пунктом 1 статьи 1079 ГК РФ установлено: «Юридические лица и граждане, деятельность которых связана с повышенной опасностью для окружающих (использование транспортных средств, механизмов, электрической энергии высокого напряжения, атомной энергии, взрывчатых веществ, сильнодействующих ядов и т.п.; осуществление строительной и иной, связанной с нею деятельности и др.), обязаны возместить вред, причиненный источником повышенной опасности, если не докажут, что вред возник вследствие непреодолимой силы или умысла потерпевшего. Владелец источника повышенной опасности может быть освобожден судом от ответственности полностью или частично также по основаниям, предусмотренным пунктами 2 и 3 статьи 1083 настоящего Кодекса.» «Обязанность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 Пунктом 3 той же статьи: «Владельцы источников повышенной опасности солидарно несут ответственность за вред, причиненный в результате взаимодействия этих источников (столкновения транспортных средств и т.п.) третьим лицам по основаниям, предусмотренным пунктом 1 настоящей статьи.» «Вред, причиненный в результате взаимодействия источников повышенной опасности их владельцам, возмещается на общих основаниях (статья 1064).»</w:t>
      </w:r>
    </w:p>
    <w:p>
      <w:pPr>
        <w:spacing w:after="120" w:line="276" w:lineRule="auto"/>
        <w:ind w:firstLine="709"/>
        <w:jc w:val="both"/>
      </w:pPr>
      <w:r>
        <w:rPr>
          <w:rFonts w:ascii="Times New Roman" w:hAnsi="Times New Roman"/>
          <w:b/>
          <w:i w:val="0"/>
          <w:sz w:val="24"/>
        </w:rPr>
        <w:t>Разница между страховым возмещением и фактическим ущербом.</w:t>
      </w:r>
      <w:r>
        <w:rPr>
          <w:rFonts w:ascii="Times New Roman" w:hAnsi="Times New Roman"/>
          <w:b w:val="0"/>
          <w:i w:val="0"/>
          <w:sz w:val="24"/>
        </w:rPr>
        <w:t xml:space="preserve"> Статьёй 1072 ГК РФ предусмотрено: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Пунктом «б» статьи 7 Федерального закона от 25.04.2002 № 40-ФЗ «Об обязательном страховании гражданской ответственности владельцев транспортных средств» (далее — Закон об ОСАГО) страховая сумма в части возмещения вреда имуществу составляет «в части возмещения вреда, причиненного имуществу каждого потерпевшего, 400 тысяч рублей»</w:t>
      </w:r>
    </w:p>
    <w:p>
      <w:pPr>
        <w:spacing w:after="120" w:line="276" w:lineRule="auto"/>
        <w:ind w:firstLine="709"/>
        <w:jc w:val="both"/>
      </w:pPr>
      <w:r>
        <w:rPr>
          <w:rFonts w:ascii="Times New Roman" w:hAnsi="Times New Roman"/>
          <w:b w:val="0"/>
          <w:i w:val="0"/>
          <w:sz w:val="24"/>
        </w:rPr>
        <w:t>Конституционный Суд РФ в постановлении от 10.03.2017 № 6-П указал, что Закон об ОСАГО, регулируя отношения потерпевшего со страховщиком, не ограничивает права потерпевшего на полное возмещение вреда причинителем: применение Единой методики с учётом износа обязательно лишь для страховщика, а причинитель вреда обязан возместить разницу между страховым возмещением и фактическим размером ущерба (стоимостью ремонта новыми деталями). Иное означало бы, что потерпевший сам оплачивает износ, возникший не по его вине.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Утрата товарной стоимости.</w:t>
      </w:r>
      <w:r>
        <w:rPr>
          <w:rFonts w:ascii="Times New Roman" w:hAnsi="Times New Roman"/>
          <w:b w:val="0"/>
          <w:i w:val="0"/>
          <w:sz w:val="24"/>
        </w:rPr>
        <w:t xml:space="preserve"> Уменьшение стоимости автомобиля вследствие ДТП (утрата товарной стоимости) относится к реальному ущербу и подлежит возмещению наряду со стоимостью ремонта [если не выплачена страховщиком].</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w:t>
      </w:r>
    </w:p>
    <w:p>
      <w:pPr>
        <w:spacing w:after="120" w:line="276" w:lineRule="auto"/>
        <w:ind w:firstLine="709"/>
        <w:jc w:val="both"/>
      </w:pPr>
      <w:r>
        <w:rPr>
          <w:rFonts w:ascii="Times New Roman" w:hAnsi="Times New Roman"/>
          <w:b/>
          <w:i w:val="0"/>
          <w:sz w:val="24"/>
        </w:rPr>
        <w:t>Если ответчик управлял чужим автомобилем.</w:t>
      </w:r>
      <w:r>
        <w:rPr>
          <w:rFonts w:ascii="Times New Roman" w:hAnsi="Times New Roman"/>
          <w:b w:val="0"/>
          <w:i w:val="0"/>
          <w:sz w:val="24"/>
        </w:rPr>
        <w:t xml:space="preserve"> Владельцем источника повышенной опасности признаётся лицо, владеющее им на законном основании (п. 1 ст. 1079 ГК РФ). Если ответчик управлял автомобилем без законного основания (без доверенности, не вписан в полис, по устному разрешению), к участию в деле следует привлечь собственника — он отвечает, пока не докажет, что автомобиль выбыл из его владения помимо его воли (п. 2 ст. 1079 ГК РФ: «Владелец источника повышенной опасности не отвечает за вред, причиненный этим источником, если докажет, что источник выбыл из его обладания в результате противоправных действий других лиц. Ответственность за вред, причиненный источником повышенной опасности, в таких случаях несут лица, противоправно завладевшие источником. При наличии вины владельца источника повышенной опасности в противоправном изъятии этого источника из его обладания ответственность может быть возложена как на владельца, так и на лицо, противоправно завладевшее источником повышенной опасности.»).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1064, 1072, 1079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