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региональный оператор (ТСЖ)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собственник помещения: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задолженности по взносам на капитальный ремонт и пени</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задолженности по взносам на капитальный ремонт и пеней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158, 169 и 170 ЖК РФ: обязанность уплачивать взносы возникла в силу закона и переходит к новому собственнику, а пени начислены правильно (части 1 и 2 статьи 379.7 ГПК РФ).</w:t>
      </w:r>
    </w:p>
    <w:p>
      <w:pPr>
        <w:spacing w:after="120" w:line="276" w:lineRule="auto"/>
        <w:ind w:firstLine="709"/>
        <w:jc w:val="both"/>
      </w:pPr>
      <w:r>
        <w:rPr>
          <w:rFonts w:ascii="Times New Roman" w:hAnsi="Times New Roman"/>
          <w:b/>
          <w:i w:val="0"/>
          <w:sz w:val="24"/>
        </w:rPr>
        <w:t>Обязанность уплачивать взносы.</w:t>
      </w:r>
      <w:r>
        <w:rPr>
          <w:rFonts w:ascii="Times New Roman" w:hAnsi="Times New Roman"/>
          <w:b w:val="0"/>
          <w:i w:val="0"/>
          <w:sz w:val="24"/>
        </w:rPr>
        <w:t xml:space="preserve"> Частью 1 статьи 169 ЖК РФ установлено: «Собственники помещений в многоквартирном доме обязаны уплачивать ежемесячные взносы на капитальный ремонт общего имущества в многоквартирном доме, за исключением случаев, предусмотренных частью 2 настоящей статьи, частью 8 статьи 170 и частью 5 статьи 181 настоящего Кодекса, в размере, установленном в соответствии с частью 8.1 статьи 156 настоящего Кодекса, или, если соответствующее решение принято общим собранием собственников помещений в многоквартирном доме, в большем размере.» Частью 3 той же статьи: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частями 5.1 и 5.2 статьи 170 настоящего Кодекса.»</w:t>
      </w:r>
    </w:p>
    <w:p>
      <w:pPr>
        <w:spacing w:after="120" w:line="276" w:lineRule="auto"/>
        <w:ind w:firstLine="709"/>
        <w:jc w:val="both"/>
      </w:pPr>
      <w:r>
        <w:rPr>
          <w:rFonts w:ascii="Times New Roman" w:hAnsi="Times New Roman"/>
          <w:b/>
          <w:i w:val="0"/>
          <w:sz w:val="24"/>
        </w:rPr>
        <w:t>Структура платы.</w:t>
      </w:r>
      <w:r>
        <w:rPr>
          <w:rFonts w:ascii="Times New Roman" w:hAnsi="Times New Roman"/>
          <w:b w:val="0"/>
          <w:i w:val="0"/>
          <w:sz w:val="24"/>
        </w:rPr>
        <w:t xml:space="preserve"> Пунктом 2 части 2 статьи 154 ЖК РФ плата для собственника включает «взнос на капитальный ремонт» Частью 1 статьи 158 ЖК РФ: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частью 1.1 настоящей статьи.»</w:t>
      </w:r>
    </w:p>
    <w:p>
      <w:pPr>
        <w:spacing w:after="120" w:line="276" w:lineRule="auto"/>
        <w:ind w:firstLine="709"/>
        <w:jc w:val="both"/>
      </w:pPr>
      <w:r>
        <w:rPr>
          <w:rFonts w:ascii="Times New Roman" w:hAnsi="Times New Roman"/>
          <w:b/>
          <w:i w:val="0"/>
          <w:sz w:val="24"/>
        </w:rPr>
        <w:t>Переход обязанности к новому собственнику.</w:t>
      </w:r>
      <w:r>
        <w:rPr>
          <w:rFonts w:ascii="Times New Roman" w:hAnsi="Times New Roman"/>
          <w:b w:val="0"/>
          <w:i w:val="0"/>
          <w:sz w:val="24"/>
        </w:rPr>
        <w:t xml:space="preserve"> Частью 3 статьи 158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pPr>
        <w:spacing w:after="120" w:line="276" w:lineRule="auto"/>
        <w:ind w:firstLine="709"/>
        <w:jc w:val="both"/>
      </w:pPr>
      <w:r>
        <w:rPr>
          <w:rFonts w:ascii="Times New Roman" w:hAnsi="Times New Roman"/>
          <w:b/>
          <w:i w:val="0"/>
          <w:sz w:val="24"/>
        </w:rPr>
        <w:t>Фонд капитального ремонта.</w:t>
      </w:r>
      <w:r>
        <w:rPr>
          <w:rFonts w:ascii="Times New Roman" w:hAnsi="Times New Roman"/>
          <w:b w:val="0"/>
          <w:i w:val="0"/>
          <w:sz w:val="24"/>
        </w:rPr>
        <w:t xml:space="preserve"> Частью 1 статьи 170 ЖК РФ: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 предоставленной в соответствии со статьей 191 настоящего Кодекса, средства от реализации региональным оператором закупленных им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не использованных на проведение капитального ремонта общего имущества в многоквартирном доме, в случае, предусмотренном частью 7 статьи 167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 Частью 3 той же статьи: «Собственники помещений в многоквартирном доме вправе выбрать один из следующих способов формирования фонда капитального ремонта:»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p>
      <w:pPr>
        <w:spacing w:after="120" w:line="276" w:lineRule="auto"/>
        <w:ind w:firstLine="709"/>
        <w:jc w:val="both"/>
      </w:pPr>
      <w:r>
        <w:rPr>
          <w:rFonts w:ascii="Times New Roman" w:hAnsi="Times New Roman"/>
          <w:b/>
          <w:i w:val="0"/>
          <w:sz w:val="24"/>
        </w:rPr>
        <w:t>Пени.</w:t>
      </w:r>
      <w:r>
        <w:rPr>
          <w:rFonts w:ascii="Times New Roman" w:hAnsi="Times New Roman"/>
          <w:b w:val="0"/>
          <w:i w:val="0"/>
          <w:sz w:val="24"/>
        </w:rPr>
        <w:t xml:space="preserve"> Частью 1 статьи 169 ЖК РФ предусмотрена уплата пеней за несвоевременную уплату взносов в порядке и размере, установленных частью 14.1 статьи 155 ЖК РФ (одна трёхсотая ставки рефинансирования Банка России от не уплаченной в срок суммы за каждый день просрочки начиная со следующего дня после наступления установленного срока оплаты). Пени за период с «[дата]» по «[дата]» — [сумма] рублей.</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 три года по каждому платежу (ст. 196 ГК РФ: «Общий срок исковой давности составляет три года со дня, определяемого в соответствии со статьей 200 настоящего Кодекса.») с учётом приостановления на время действия судебного приказа (п. 1 ст. 204 ГК РФ: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154, 158, 169, 170 ЖК РФ, статьёй 196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