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за поставленный товар и договорной неустойки за просрочку оплаты</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за поставленный товар и договорной неустойки за просрочку оплаты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[или снижая неустойку], суды не применили статьи 486, 506 и 516 ГК РФ: товар поставлен и принят по универсальным передаточным документам, а обязанность оплатить его не исполнена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оплатить поставленный товар.</w:t>
      </w:r>
      <w:r>
        <w:rPr>
          <w:rFonts w:ascii="Times New Roman" w:hAnsi="Times New Roman"/>
          <w:b w:val="0"/>
          <w:i w:val="0"/>
          <w:sz w:val="24"/>
        </w:rPr>
        <w:t xml:space="preserve">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Согласно пункту 1 статьи 486 ГК РФ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В силу пункта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Отсрочка платежа.</w:t>
      </w:r>
      <w:r>
        <w:rPr>
          <w:rFonts w:ascii="Times New Roman" w:hAnsi="Times New Roman"/>
          <w:b w:val="0"/>
          <w:i w:val="0"/>
          <w:sz w:val="24"/>
        </w:rPr>
        <w:t xml:space="preserve"> Поскольку Договор предусматривает оплату через определённое время после передачи товара, применяется пункт 1 статьи 488 ГК РФ: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Пунктом 1 статьи 314 ГК РФ установлено: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spacing w:after="120" w:line="276" w:lineRule="auto"/>
        <w:ind w:firstLine="709"/>
        <w:jc w:val="both"/>
      </w:pPr>
      <w:r>
        <w:rPr>
          <w:rFonts w:ascii="Times New Roman" w:hAnsi="Times New Roman"/>
          <w:b/>
          <w:i w:val="0"/>
          <w:sz w:val="24"/>
        </w:rPr>
        <w:t>Подтверждение поставки.</w:t>
      </w:r>
      <w:r>
        <w:rPr>
          <w:rFonts w:ascii="Times New Roman" w:hAnsi="Times New Roman"/>
          <w:b w:val="0"/>
          <w:i w:val="0"/>
          <w:sz w:val="24"/>
        </w:rPr>
        <w:t xml:space="preserve"> Универсальные передаточные документы содержат наименование, количество и цену товара, ссылку на Договор и подписи лиц, принявших товар от имени ответчика. Согласно абзацу второму пункта 1 статьи 182 ГК РФ «Полномочие может также явствовать из обстановки, в которой действует представитель (продавец в розничной торговле, кассир и т.п.).» Товар принимался работниками ответчика на его складе по адресу [адрес], что подтверждает их полномочия. Кроме того, статьёй 402 ГК РФ установлено: «Действия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 Частичная оплата и подписание акта сверки также свидетельствуют о признании ответчиком факта поставки.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Пунктом [__] Договора установлено, что за нарушение срока оплаты покупатель уплачивает поставщику неустойку (пеню) в размере [0,1] % от неоплаченной в срок суммы за каждый день просрочки [при наличии ограничения: но не более [10] % от суммы задолженности]. Размер неустойки за период с «[дата]» по «[дата составления иска]» составляет [сумма] рублей (расчёт прилагается). Поскольку Договором предусмотрена неустойка, проценты по статье 395 ГК РФ не начисляются (пункт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Неустойка до фактической оплаты.</w:t>
      </w:r>
      <w:r>
        <w:rPr>
          <w:rFonts w:ascii="Times New Roman" w:hAnsi="Times New Roman"/>
          <w:b w:val="0"/>
          <w:i w:val="0"/>
          <w:sz w:val="24"/>
        </w:rPr>
        <w:t xml:space="preserve"> Обязательство по оплате не исполнено до настоящего времени, поэтому истец вправе требовать присуждения неустойки по день фактического исполнения обязательства, начисляемой на сумму долга [с учётом установленного Договором ограничения]. Такое требование соответствует природе неустойки как способа обеспечения исполнения обязательства, который действует, пока обязательство не исполнено.</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[0,1 % в день] обычен для делового оборота, согласован ответчиком добровольно, а просрочка длится [__] дней;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486, 506, 516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