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государственный (муниципальный)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пени за просрочку исполнения обязательств и штрафа за ненадлежащее исполнение контракта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пени за просрочку исполнения обязательств и штрафа за ненадлежащее исполнение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части 6–8 статьи 34 Закона № 44-ФЗ: поставщик нарушил сроки и условия контракта, а оснований для списания или снижения неустойки нет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Требование об уплате неустоек.</w:t>
      </w:r>
      <w:r>
        <w:rPr>
          <w:rFonts w:ascii="Times New Roman" w:hAnsi="Times New Roman"/>
          <w:b w:val="0"/>
          <w:i w:val="0"/>
          <w:sz w:val="24"/>
        </w:rPr>
        <w:t xml:space="preserve"> Частью 6 статьи 34 Закона № 44-ФЗ установлено: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spacing w:after="120" w:line="276" w:lineRule="auto"/>
        <w:ind w:firstLine="709"/>
        <w:jc w:val="both"/>
      </w:pPr>
      <w:r>
        <w:rPr>
          <w:rFonts w:ascii="Times New Roman" w:hAnsi="Times New Roman"/>
          <w:b/>
          <w:i w:val="0"/>
          <w:sz w:val="24"/>
        </w:rPr>
        <w:t>Пени и штрафы поставщика.</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Согласно части 8 той же статьи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Пеня: ([цена Контракта] − [стоимость исполненных обязательств]) × 1/300 × [ключевая ставка] × [__] дней = [сумма] рублей. Штраф определён по пункту [__] Контракта в соответствии с правилами, утверждёнными Правительством Российской Федерации, в размере [__] % цены Контракта — [сумма] рублей.</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Обстоятельств, освобождающих ответчика от ответственности, нет.</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330 ГК РФ установлено: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Списание неустоек не применяется.</w:t>
      </w:r>
      <w:r>
        <w:rPr>
          <w:rFonts w:ascii="Times New Roman" w:hAnsi="Times New Roman"/>
          <w:b w:val="0"/>
          <w:i w:val="0"/>
          <w:sz w:val="24"/>
        </w:rPr>
        <w:t xml:space="preserve"> [Обоснуйте: общая сумма неустоек превышает 5 % цены Контракта / обязательства не исполнены в полном объёме], поэтому основания для списания по правилам, принятым на основании части 9.1 статьи 34 Закона № 44-ФЗ, отсутствуют.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ГК РФ, статьёй 34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