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[наименование налогового органа]: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задолженности безнадёжной к взысканию и обязанности по её уплате прекращённой</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налоговой задолженности безнадёжной к взысканию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статью 59 НК РФ: налоговый орган утратил возможность взыскания в связи с истечением установленных сроков (части 1 и 2 статьи 288 АПК РФ).</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Безнадёжная задолженность.</w:t>
      </w:r>
      <w:r>
        <w:rPr>
          <w:rFonts w:ascii="Times New Roman" w:hAnsi="Times New Roman"/>
          <w:b w:val="0"/>
          <w:i w:val="0"/>
          <w:sz w:val="24"/>
        </w:rPr>
        <w:t xml:space="preserve"> Пунктом 1 статьи 59 НК РФ установлено: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случаях:»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w:t>
      </w:r>
    </w:p>
    <w:p>
      <w:pPr>
        <w:spacing w:after="120" w:line="276" w:lineRule="auto"/>
        <w:ind w:firstLine="709"/>
        <w:jc w:val="both"/>
      </w:pPr>
      <w:r>
        <w:rPr>
          <w:rFonts w:ascii="Times New Roman" w:hAnsi="Times New Roman"/>
          <w:b/>
          <w:i w:val="0"/>
          <w:sz w:val="24"/>
        </w:rPr>
        <w:t>Утрата возможности взыскания.</w:t>
      </w:r>
      <w:r>
        <w:rPr>
          <w:rFonts w:ascii="Times New Roman" w:hAnsi="Times New Roman"/>
          <w:b w:val="0"/>
          <w:i w:val="0"/>
          <w:sz w:val="24"/>
        </w:rPr>
        <w:t xml:space="preserve"> Пунктом 4 статьи 46 НК РФ установлено: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Сроки, предусмотренные этой нормой и пунктом 1 статьи 70 НК РФ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 в отношении спорной задолженности истекли «[дата]»; налоговый орган в суд не обращался [в восстановлении срока отказано определением от «[дата]» по делу № [__]].</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Судебный акт, которым установлена утрата налоговым органом возможности взыскания, является основанием для признания задолженности безнадёжной и её списания (подпункт 4 пункта 1 статьи 59 НК РФ). Такой акт может быть принят по заявлению налогоплательщика, поскольку иным способом он не может исключить из сальдо ЕНС суммы, взыскание которых невозможно.</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Требование носит длящийся характер: спорные суммы продолжают учитываться в отрицательном сальдо ЕНС на дату обращения. Решение по жалобе получено «[дата]» (пункт 3 статьи 138 НК РФ: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5 статьи 200 АПК РФ должен доказать орган, принявший оспариваемый акт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 47, 59 НК РФ, статьями 198, 200, 201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налоговой задолженности безнадёжной к взысканию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 за подачу заявления,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