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[наименование налогового органа]: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недействительными решений об отказе в возмещении НДС и о привлечении к ответственности, обязании возместить налог</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недействительным решения об отказе в возмещении налога на добавленную стоимость и обязании возместить налог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статьи 171, 172 и 176 НК РФ: условия вычета соблюдены, счета-фактуры оформлены правильно, а претензии к контрагентам второго звена заявителю не вменяются (части 1 и 2 статьи 288 АПК РФ).</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Право на возмещение.</w:t>
      </w:r>
      <w:r>
        <w:rPr>
          <w:rFonts w:ascii="Times New Roman" w:hAnsi="Times New Roman"/>
          <w:b w:val="0"/>
          <w:i w:val="0"/>
          <w:sz w:val="24"/>
        </w:rPr>
        <w:t xml:space="preserve"> Пунктом 1 статьи 176 НК РФ установлено: «В случае, если по итогам налогового периода сумма налоговых вычетов превышает общую сумму налога, исчисленную по операциям, признаваемым объектом налогообложения в соответствии с подпунктами 1 - 3 пункта 1 статьи 146 настоящего Кодекса, полученная разница подлежит возмещению налогоплательщику в соответствии с положениями настоящей статьи.» Пунктом 2 той же статьи предусмотрено: «По окончании проверки в течение семи дней налоговый орган обязан принять решение о возмещении соответствующих сумм, если при проведении камеральной налоговой проверки не были выявлены нарушения законодательства о налогах и сборах.»</w:t>
      </w:r>
    </w:p>
    <w:p>
      <w:pPr>
        <w:spacing w:after="120" w:line="276" w:lineRule="auto"/>
        <w:ind w:firstLine="709"/>
        <w:jc w:val="both"/>
      </w:pPr>
      <w:r>
        <w:rPr>
          <w:rFonts w:ascii="Times New Roman" w:hAnsi="Times New Roman"/>
          <w:b/>
          <w:i w:val="0"/>
          <w:sz w:val="24"/>
        </w:rPr>
        <w:t>Условия вычета.</w:t>
      </w:r>
      <w:r>
        <w:rPr>
          <w:rFonts w:ascii="Times New Roman" w:hAnsi="Times New Roman"/>
          <w:b w:val="0"/>
          <w:i w:val="0"/>
          <w:sz w:val="24"/>
        </w:rPr>
        <w:t xml:space="preserve"> Пунктом 2 статьи 171 НК РФ предусмотрено: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переработки для внутреннего потребления, временного ввоза и переработки вне таможенной территории либо при ввозе товаров, перемещаемых через границу Российской Федерации без таможенного оформления, в отношении:» Пунктом 1 статьи 172 НК РФ установлено: «Налоговые вычеты, предусмотренные статьей 171 настоящего Кодекса, производятся на основании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территорию Российской Федерации и иные территории, находящиеся под ее юрисдикцией, документов, подтверждающих исчисление сумм налога налоговыми агентами, либо на основании иных документов в случаях, предусмотренных пунктами 3, 6 - 8 статьи 171 настоящего Кодекса.» Все указанные условия заявителем выполнены.</w:t>
      </w:r>
    </w:p>
    <w:p>
      <w:pPr>
        <w:spacing w:after="120" w:line="276" w:lineRule="auto"/>
        <w:ind w:firstLine="709"/>
        <w:jc w:val="both"/>
      </w:pPr>
      <w:r>
        <w:rPr>
          <w:rFonts w:ascii="Times New Roman" w:hAnsi="Times New Roman"/>
          <w:b/>
          <w:i w:val="0"/>
          <w:sz w:val="24"/>
        </w:rPr>
        <w:t>Нарушения контрагента не основание для отказа.</w:t>
      </w:r>
      <w:r>
        <w:rPr>
          <w:rFonts w:ascii="Times New Roman" w:hAnsi="Times New Roman"/>
          <w:b w:val="0"/>
          <w:i w:val="0"/>
          <w:sz w:val="24"/>
        </w:rPr>
        <w:t xml:space="preserve"> Пунктом 3 статьи 54.1 НК РФ предусмотрено: «В целях пунктов 1 и 2 настоящей статьи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w:t>
      </w:r>
    </w:p>
    <w:p>
      <w:pPr>
        <w:spacing w:after="120" w:line="276" w:lineRule="auto"/>
        <w:ind w:firstLine="709"/>
        <w:jc w:val="both"/>
      </w:pPr>
      <w:r>
        <w:rPr>
          <w:rFonts w:ascii="Times New Roman" w:hAnsi="Times New Roman"/>
          <w:b/>
          <w:i w:val="0"/>
          <w:sz w:val="24"/>
        </w:rPr>
        <w:t>Возврат суммы возмещения.</w:t>
      </w:r>
      <w:r>
        <w:rPr>
          <w:rFonts w:ascii="Times New Roman" w:hAnsi="Times New Roman"/>
          <w:b w:val="0"/>
          <w:i w:val="0"/>
          <w:sz w:val="24"/>
        </w:rPr>
        <w:t xml:space="preserve"> Пунктом 1 статьи 79 НК РФ предусмотрено: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возврата этой суммы на открытый ему счет в банке, если иное не предусмотрено настоящим пунктом, в порядке, предусмотренном настоящей статьей.» Пунктом 9 той же статьи установлено, что при нарушении срока возврата более чем на 10 дней начисляются проценты; «Процентная ставка принимается равной ключевой ставке Центрального банка Российской Федерации, действовавшей в дни нарушения срока перечисления указанных сумм денежных средств.»</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Пунктом 3 статьи 138 НК РФ предусмотрено: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 Решение вышестоящего налогового органа получено заявителем «[дата]»; трёхмесячный срок, установленный частью 4 статьи 198 АПК РФ, не истёк.</w:t>
      </w:r>
    </w:p>
    <w:p>
      <w:pPr>
        <w:spacing w:after="120" w:line="276" w:lineRule="auto"/>
        <w:ind w:firstLine="709"/>
        <w:jc w:val="both"/>
      </w:pPr>
      <w:r>
        <w:rPr>
          <w:rFonts w:ascii="Times New Roman" w:hAnsi="Times New Roman"/>
          <w:b/>
          <w:i w:val="0"/>
          <w:sz w:val="24"/>
        </w:rPr>
        <w:t>Последствия признания акта недействительным.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5 статьи 200 АПК РФ должен доказать орган, принявший оспариваемый акт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54.1, 171, 172, 176 НК РФ, статьями 198, 200, 201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недействительным решения об отказе в возмещении налога на добавленную стоимость и обязании возместить налог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заинтересованного лица в пользу заявителя расходы по уплате государственной пошлины за подачу заявления,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