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установлении факта родственных отношений</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об установлении факта родственных отношений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установлении факта, суды не применили пункт 1 части 2 статьи 264 ГПК РФ: родство подтверждено документами и показаниями, а получить надлежащие документы иным путём невозможно (части 1 и 2 статьи 379.7 ГПК РФ).</w:t>
      </w:r>
    </w:p>
    <w:p>
      <w:pPr>
        <w:spacing w:after="120" w:line="276" w:lineRule="auto"/>
        <w:ind w:firstLine="709"/>
        <w:jc w:val="both"/>
      </w:pPr>
      <w:r>
        <w:rPr>
          <w:rFonts w:ascii="Times New Roman" w:hAnsi="Times New Roman"/>
          <w:b/>
          <w:i w:val="0"/>
          <w:sz w:val="24"/>
        </w:rPr>
        <w:t>Факт родственных отношений.</w:t>
      </w:r>
      <w:r>
        <w:rPr>
          <w:rFonts w:ascii="Times New Roman" w:hAnsi="Times New Roman"/>
          <w:b w:val="0"/>
          <w:i w:val="0"/>
          <w:sz w:val="24"/>
        </w:rPr>
        <w:t xml:space="preserve"> Пунктом 1 части 2 статьи 264 ГПК РФ суд рассматривает дела об установлении «родственных отношений» В пункте 3 постановления Пленума Верховного Суда СССР от 21.06.1985 № 9 «О судебной практике по делам об установлении фактов, имеющих юридическое значение» разъяснено: «Факт родственных отношений лиц (п. 1 ст. 247 ГПК РСФСР и соответствующие статьи ГПК других союзных республик) устанавливается в судебном порядке, когда это непосредственно порождает юридические последствия, например, если подтверждение такого факта необходимо заявителю для получения в органах, совершающих нотариальные действия, свидетельства о праве на наследство, для оформления права на пенсию по случаю потери кормильца.»</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[Для наследования.]</w:t>
      </w:r>
      <w:r>
        <w:rPr>
          <w:rFonts w:ascii="Times New Roman" w:hAnsi="Times New Roman"/>
          <w:b w:val="0"/>
          <w:i w:val="0"/>
          <w:sz w:val="24"/>
        </w:rPr>
        <w:t xml:space="preserve"> Пунктом 1 статьи 1141 ГК РФ установлено: «Наследники по закону призываются к наследованию в порядке очередности, предусмотренной статьями 1142 - 1145 и 1148 настоящего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Заявитель относится к наследникам [__] очереди, и подтверждение родства необходимо для реализации права на наследство в течение срока его принятия.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знавших семью, и истребовать из архива [__] актовые записи [__].</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264, 265, 267, 268 ГПК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об установлении факта родственных отношений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