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w:t>
      </w:r>
    </w:p>
    <w:p>
      <w:pPr>
        <w:spacing w:after="160" w:line="276" w:lineRule="auto"/>
        <w:jc w:val="right"/>
      </w:pPr>
      <w:r>
        <w:rPr>
          <w:rFonts w:ascii="Times New Roman" w:hAnsi="Times New Roman"/>
          <w:b/>
          <w:i w:val="0"/>
          <w:sz w:val="24"/>
        </w:rPr>
        <w:t xml:space="preserve">Заявитель: конкурсный управляющий: </w:t>
      </w:r>
      <w:r>
        <w:rPr>
          <w:rFonts w:ascii="Times New Roman" w:hAnsi="Times New Roman"/>
          <w:b w:val="0"/>
          <w:i w:val="0"/>
          <w:sz w:val="24"/>
        </w:rPr>
        <w:t>[Ф. И. О. конкурсного управляющего]</w:t>
      </w:r>
      <w:r>
        <w:rPr>
          <w:rFonts w:ascii="Times New Roman" w:hAnsi="Times New Roman"/>
          <w:b w:val="0"/>
          <w:i w:val="0"/>
          <w:sz w:val="24"/>
        </w:rPr>
        <w:br/>
        <w:t>ИНН [__________], СНИЛС [__________], номер в сводном реестре арбитражных управляющих [_____]</w:t>
      </w:r>
      <w:r>
        <w:rPr>
          <w:rFonts w:ascii="Times New Roman" w:hAnsi="Times New Roman"/>
          <w:b w:val="0"/>
          <w:i w:val="0"/>
          <w:sz w:val="24"/>
        </w:rPr>
        <w:br/>
        <w:t>член [наименование СРО арбитражных управляющих] (ОГРН [__________], ИНН [__________], адрес: [__________])</w:t>
      </w:r>
      <w:r>
        <w:rPr>
          <w:rFonts w:ascii="Times New Roman" w:hAnsi="Times New Roman"/>
          <w:b w:val="0"/>
          <w:i w:val="0"/>
          <w:sz w:val="24"/>
        </w:rPr>
        <w:br/>
        <w:t>адрес для корреспонденции: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Должник: </w:t>
      </w:r>
      <w:r>
        <w:rPr>
          <w:rFonts w:ascii="Times New Roman" w:hAnsi="Times New Roman"/>
          <w:b w:val="0"/>
          <w:i w:val="0"/>
          <w:sz w:val="24"/>
        </w:rPr>
        <w:t>[полное наименование должника]</w:t>
      </w:r>
      <w:r>
        <w:rPr>
          <w:rFonts w:ascii="Times New Roman" w:hAnsi="Times New Roman"/>
          <w:b w:val="0"/>
          <w:i w:val="0"/>
          <w:sz w:val="24"/>
        </w:rPr>
        <w:br/>
        <w:t>ОГРН [__________], ИНН [__________]</w:t>
      </w:r>
      <w:r>
        <w:rPr>
          <w:rFonts w:ascii="Times New Roman" w:hAnsi="Times New Roman"/>
          <w:b w:val="0"/>
          <w:i w:val="0"/>
          <w:sz w:val="24"/>
        </w:rPr>
        <w:br/>
        <w:t>адрес: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не уплачивается</w:t>
      </w:r>
    </w:p>
    <w:p>
      <w:pPr>
        <w:spacing w:after="0" w:line="276" w:lineRule="auto"/>
        <w:jc w:val="center"/>
      </w:pPr>
      <w:r>
        <w:rPr>
          <w:rFonts w:ascii="Times New Roman" w:hAnsi="Times New Roman"/>
          <w:b/>
          <w:i w:val="0"/>
          <w:sz w:val="24"/>
        </w:rPr>
        <w:t>ХОДАТАЙСТВО</w:t>
      </w:r>
    </w:p>
    <w:p>
      <w:pPr>
        <w:spacing w:after="240" w:line="276" w:lineRule="auto"/>
        <w:jc w:val="center"/>
      </w:pPr>
      <w:r>
        <w:rPr>
          <w:rFonts w:ascii="Times New Roman" w:hAnsi="Times New Roman"/>
          <w:b/>
          <w:i w:val="0"/>
          <w:sz w:val="24"/>
        </w:rPr>
        <w:t>о привлечении лиц для обеспечения деятельности конкурсного управляющего с оплатой за счёт имущества должника сверх установленного лимита</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[полное наименование] (далее — Должник) признано несостоятельным (банкротом), открыто конкурсное производство, конкурсным управляющим утверждён [Ф. И. О.] (далее — Конкурсный управляющий). [Определением от «[дата]» в отношении Должника была введена процедура наблюдения.] Заявление о признании Должника банкротом принято к производству определением суда от «[дата]» (далее — дата принятия заявления о банкротстве). В реестр требований кредиторов включены требования на общую сумму [сумма] руб.</w:t>
      </w:r>
    </w:p>
    <w:p>
      <w:pPr>
        <w:spacing w:after="120" w:line="276" w:lineRule="auto"/>
        <w:jc w:val="center"/>
      </w:pPr>
      <w:r>
        <w:rPr>
          <w:rFonts w:ascii="Times New Roman" w:hAnsi="Times New Roman"/>
          <w:b/>
          <w:i w:val="0"/>
          <w:sz w:val="24"/>
        </w:rPr>
        <w:t>I. Лимит расходов и необходимость его превышения</w:t>
      </w:r>
    </w:p>
    <w:p>
      <w:pPr>
        <w:spacing w:after="120" w:line="276" w:lineRule="auto"/>
        <w:ind w:firstLine="709"/>
        <w:jc w:val="both"/>
      </w:pPr>
      <w:r>
        <w:rPr>
          <w:rFonts w:ascii="Times New Roman" w:hAnsi="Times New Roman"/>
          <w:b w:val="0"/>
          <w:i w:val="0"/>
          <w:sz w:val="24"/>
        </w:rPr>
        <w:t>Балансовая стоимость активов Должника на последнюю отчётную дату, предшествующую открытию конкурсного производства («[дата]»), составляет [сумма] руб. (бухгалтерский баланс прилагается). Лимит расходов на оплату услуг привлечённых лиц, рассчитанный по пункту 3 статьи 20.7 Закона о банкротстве, составляет [сумма] руб. На дату подачи ходатайства привлечены: [бухгалтер [Ф. И. О.] по договору от «[дата]» — [сумма] руб. в месяц; юрист — [сумма] руб. в месяц; организатор торгов [наименование] — [сумма] руб.; охранная организация — [сумма] руб. в месяц; оценщик — [сумма] руб.]; израсходовано [сумма] руб., лимит [исчерпан / будет исчерпан «[дата]»].</w:t>
      </w:r>
    </w:p>
    <w:p>
      <w:pPr>
        <w:spacing w:after="120" w:line="276" w:lineRule="auto"/>
        <w:ind w:firstLine="709"/>
        <w:jc w:val="both"/>
      </w:pPr>
      <w:r>
        <w:rPr>
          <w:rFonts w:ascii="Times New Roman" w:hAnsi="Times New Roman"/>
          <w:b w:val="0"/>
          <w:i w:val="0"/>
          <w:sz w:val="24"/>
        </w:rPr>
        <w:t>Особенности процедуры требуют продолжения привлечения специалистов: [Должник — предприятие с [__] объектами недвижимости в [__] регионах, требующими охраны и содержания; ведётся [__] судебных споров о взыскании дебиторской задолженности на [сумма] руб. и [__] споров об оспаривании сделок; штат работников [__] человек требует ведения учёта и расчётов; объём документации — [__] коробов; продолжается производственная деятельность для сохранения имущественного комплекса до продажи]. Самостоятельное выполнение указанного объёма работы конкурсным управляющим невозможно без ущерба срокам процедуры; стоимость услуг соответствует рыночному уровню ([коммерческие предложения / тарифы] прилагаются) и существенно ниже ожидаемого эффекта: [взыскание дебиторской задолженности [сумма] руб., сохранение имущества стоимостью [сумма] руб.].</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val="0"/>
          <w:i w:val="0"/>
          <w:sz w:val="24"/>
        </w:rPr>
        <w:t>Абзацем шестым пункта 1 статьи 20.3 Федерального закона от 26.10.2002 № 127-ФЗ «О несостоятельности (банкротстве)» (далее — Закон о банкротстве) арбитражному управляющему предоставлено право «привлекать для обеспечения возложенных на него обязанностей в деле о банкротстве на договорной основе иных лиц с оплатой их деятельности за счет средств должника, если иное не установлено настоящим Федеральным законом, стандартами и правилами профессиональной деятельности или соглашением арбитражного управляющего с кредиторами». Пунктом 1 статьи 20.7 Закона о банкротстве установлено: «Расходы на проведение процедур, применяемых в деле о банкротстве, осуществляются за счет средств должника, если иное не предусмотрено настоящим Федеральным законом.» Пунктом 3 той же статьи предусмотрено: «Размер оплаты услуг лиц, привлеченных внешним управляющим или конкурсным управляющим для обеспечения исполнения возложенных на него обязанностей в деле о банкротстве, за исключением лиц, предусмотренных пунктом 2 настоящей статьи, составляет при балансовой стоимости активов должника: При этом размер оплаты услуг лиц, определенный в соответствии с настоящим пунктом, может быть превышен арбитражным управляющим в случае, если размер данного превышения покрывается размером страховой суммы сверх установленного пунктом 2 статьи 24.1 настоящего Федерального закона минимального размера страховой суммы по договору обязательного страхования ответственности арбитражного управляющего.» Пунктом 6 статьи 20.7 Закона о банкротстве установлено: «Привлечение арбитражным управляющим лиц для обеспечения исполнения возложенных на него обязанностей в деле о банкротстве за счет имущества должника при превышении размера оплаты таких услуг, определенного в соответствии с настоящей статьей, осуществляется после принятия арбитражным судом соответствующего определения, принимаемого в порядке, установленном пунктом 2 статьи 60 настоящего Федерального закона. Арбитражный суд выносит определение о привлечении указанных в настоящем пункте лиц и об установлении размера оплаты их услуг по ходатайству арбитражного управляющего при условии, что арбитражным управляющим доказаны обоснованность их привлечения и обоснованность размера оплаты их услуг. Принятое арбитражным судом определение о привлечении арбитражным управляющим указанных в настоящем пункте лиц и об установлении размера оплаты их услуг или об отказе в удовлетворении ходатайства арбитражного управляющего об их привлечении может быть обжаловано.»</w:t>
      </w:r>
    </w:p>
    <w:p>
      <w:pPr>
        <w:spacing w:after="120" w:line="276" w:lineRule="auto"/>
        <w:ind w:firstLine="709"/>
        <w:jc w:val="both"/>
      </w:pPr>
      <w:r>
        <w:rPr>
          <w:rFonts w:ascii="Times New Roman" w:hAnsi="Times New Roman"/>
          <w:b w:val="0"/>
          <w:i w:val="0"/>
          <w:sz w:val="24"/>
        </w:rPr>
        <w:t>Пунктом 5 статьи 20.7 Закона о банкротстве предусмотрено: «Привлечение арбитражным управляющим лиц для обеспечения исполнения возложенных на него обязанностей в деле о банкротстве, оплата услуг таких лиц или определенный настоящей статьей размер оплаты таких услуг могут быть признаны арбитражным судом необоснованными по заявлению лиц, участвующих в деле о банкротстве, в случаях, если услуги не связаны с целями проведения процедур, применяемых в деле о банкротстве, или возложенными на арбитражного управляющего обязанностями в деле о банкротстве либо размер оплаты стоимости таких услуг явно несоразмерен ожидаемому результату. Не может быть признан необоснованным размер оплаты таких услуг, если он соответствует тарифам, утвержденным нормативным правовым актом Российской Федерации. Обязанность доказывания необоснованности привлечения лиц для обеспечения исполнения возложенных на арбитражного управляющего обязанностей в деле о банкротстве и (или) определенного в соответствии с настоящей статьей размера оплаты их услуг возлагается на лицо, обратившееся в арбитражный суд с заявлением о признании привлечения таких лиц и (или) размера такой оплаты необоснованными.» Пунктами 4 и 5 постановления Пленума Высшего Арбитражного Суда Российской Федерации от 17.12.2009 № 91 «О порядке погашения расходов по делу о банкротстве» разъяснено, что при рассмотрении вопроса об обоснованности привлечения лица суд учитывает, направлено ли привлечение на достижение целей процедуры и выполнение возложенных на управляющего обязанностей, насколько велик объём работы, возможно ли выполнение её самим управляющим, обладает ли привлечённое лицо необходимой квалификацией, и соответствует ли размер оплаты рыночной стоимости подобных услуг; превышение лимита допускается по определению суда при доказанности необходимости.</w:t>
      </w:r>
    </w:p>
    <w:p>
      <w:pPr>
        <w:spacing w:after="120" w:line="276" w:lineRule="auto"/>
        <w:ind w:firstLine="709"/>
        <w:jc w:val="both"/>
      </w:pPr>
      <w:r>
        <w:rPr>
          <w:rFonts w:ascii="Times New Roman" w:hAnsi="Times New Roman"/>
          <w:b w:val="0"/>
          <w:i w:val="0"/>
          <w:sz w:val="24"/>
        </w:rPr>
        <w:t>Привлечение указанных лиц обусловлено объективной необходимостью, объём и стоимость услуг обоснованы, оплата за счёт имущества Должника соразмерна ожидаемому результату для конкурсной массы; собрание кредиторов «[дата]» [одобрило привлечение / возражений не заявило].</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20.3, 20.7, 60 Федерального закона «О несостоятельности (банкротстве)», статьями 159, 223 Арбитражного процессуального кодекса Российской Федерации, конкурсный управляющий</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Разрешить конкурсному управляющему [наименование Должника] [Ф. И. О.] привлечь за счёт имущества Должника сверх лимита, установленного пунктом 3 статьи 20.7 Закона о банкротстве: [Ф. И. О. / наименование] для оказания услуг [бухгалтерского сопровождения / юридического сопровождения / охраны имущества / организации торгов] на период с «[дата]» по «[дата / до завершения конкурсного производства]» с оплатой в размере [сумма] руб. в месяц [всего не более [сумма] руб.].</w:t>
      </w:r>
    </w:p>
    <w:p>
      <w:pPr>
        <w:spacing w:after="120" w:line="276" w:lineRule="auto"/>
        <w:ind w:firstLine="709"/>
        <w:jc w:val="both"/>
      </w:pPr>
      <w:r>
        <w:rPr>
          <w:rFonts w:ascii="Times New Roman" w:hAnsi="Times New Roman"/>
          <w:b w:val="0"/>
          <w:i w:val="0"/>
          <w:sz w:val="24"/>
        </w:rPr>
        <w:t>2. Установить размер оплаты услуг привлечённых лиц с превышением лимита расходов на сумму [сумма] руб.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Бухгалтерский баланс Должника на «[дата]»; расчёт лимита расходов по п. 3 ст. 20.7 и сведения об израсходованной части лимита.</w:t>
      </w:r>
    </w:p>
    <w:p>
      <w:pPr>
        <w:spacing w:after="40" w:line="276" w:lineRule="auto"/>
        <w:jc w:val="left"/>
      </w:pPr>
      <w:r>
        <w:rPr>
          <w:rFonts w:ascii="Times New Roman" w:hAnsi="Times New Roman"/>
          <w:b w:val="0"/>
          <w:i w:val="0"/>
          <w:sz w:val="24"/>
        </w:rPr>
        <w:t>2. Договоры с привлечёнными лицами, документы об их квалификации; акты выполненных работ за истекший период; коммерческие предложения (тарифы) о стоимости аналогичных услуг.</w:t>
      </w:r>
    </w:p>
    <w:p>
      <w:pPr>
        <w:spacing w:after="40" w:line="276" w:lineRule="auto"/>
        <w:jc w:val="left"/>
      </w:pPr>
      <w:r>
        <w:rPr>
          <w:rFonts w:ascii="Times New Roman" w:hAnsi="Times New Roman"/>
          <w:b w:val="0"/>
          <w:i w:val="0"/>
          <w:sz w:val="24"/>
        </w:rPr>
        <w:t>3. Документы, подтверждающие объём работы (перечень споров, объектов имущества, численность работников); протокол собрания кредиторов [при наличии].</w:t>
      </w:r>
    </w:p>
    <w:p>
      <w:pPr>
        <w:spacing w:after="40" w:line="276" w:lineRule="auto"/>
        <w:jc w:val="left"/>
      </w:pPr>
      <w:r>
        <w:rPr>
          <w:rFonts w:ascii="Times New Roman" w:hAnsi="Times New Roman"/>
          <w:b w:val="0"/>
          <w:i w:val="0"/>
          <w:sz w:val="24"/>
        </w:rPr>
        <w:t>4. Доказательства направления копии ходатайства лицам, участвующим в деле.</w:t>
      </w:r>
    </w:p>
    <w:p>
      <w:pPr>
        <w:spacing w:after="0" w:line="276" w:lineRule="auto" w:before="360"/>
        <w:jc w:val="left"/>
      </w:pPr>
      <w:r>
        <w:rPr>
          <w:rFonts w:ascii="Times New Roman" w:hAnsi="Times New Roman"/>
          <w:b w:val="0"/>
          <w:i w:val="0"/>
          <w:sz w:val="24"/>
        </w:rPr>
        <w:t>«___» __________ 20__ г.</w:t>
        <w:tab/>
        <w:tab/>
        <w:tab/>
        <w:t>Конкурсный управляющий 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Превышение лимита без определения суда — основание для признания расходов необоснованными и взыскания убытков с управляющего (п. 5 ст. 20.7); подавайте ходатайство до исчерпания лимита, расчёт лимита — по балансу на последнюю отчётную дату перед процедурой (п. 8 ст. 20.7).</w:t>
      </w:r>
    </w:p>
    <w:p>
      <w:pPr>
        <w:spacing w:after="40" w:line="276" w:lineRule="auto"/>
        <w:jc w:val="both"/>
      </w:pPr>
      <w:r>
        <w:rPr>
          <w:rFonts w:ascii="Times New Roman" w:hAnsi="Times New Roman"/>
          <w:b w:val="0"/>
          <w:i/>
          <w:sz w:val="24"/>
        </w:rPr>
        <w:t>— Суд проверяет по п. 4 Постановления № 91: необходимость, объём, невозможность выполнить самому, квалификацию, рыночную цену — обосновывайте каждый критерий документами.</w:t>
      </w:r>
    </w:p>
    <w:p>
      <w:pPr>
        <w:spacing w:after="40" w:line="276" w:lineRule="auto"/>
        <w:jc w:val="both"/>
      </w:pPr>
      <w:r>
        <w:rPr>
          <w:rFonts w:ascii="Times New Roman" w:hAnsi="Times New Roman"/>
          <w:b w:val="0"/>
          <w:i/>
          <w:sz w:val="24"/>
        </w:rPr>
        <w:t>— Специалисты для текущей деятельности должника (производство, сторожа, кадровик) под лимит не попадают (абз. 2 п. 1 ст. 20.7) — разграничивайте их в ходатайстве.</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17.10.2026). Квадратные скобки — места для ваших данных.</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