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арендной платы и ущерба по договору аренды транспортного средства (спецтехники) без экипажа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задолженности по арендной плате за [экскаватор / автокран / иную спецтехнику] по договору аренды без экипажа от «[дата]» № [__] в размере [сумма] рублей и ущерба от повреждения техники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относительно арендной платы</w:t>
      </w:r>
    </w:p>
    <w:p>
      <w:pPr>
        <w:spacing w:after="120" w:line="276" w:lineRule="auto"/>
        <w:ind w:firstLine="709"/>
        <w:jc w:val="both"/>
      </w:pPr>
      <w:r>
        <w:rPr>
          <w:rFonts w:ascii="Times New Roman" w:hAnsi="Times New Roman"/>
          <w:b/>
          <w:i w:val="0"/>
          <w:sz w:val="24"/>
        </w:rPr>
        <w:t>Плата рассчитана за время простоя техники по вине арендодателя.</w:t>
      </w:r>
      <w:r>
        <w:rPr>
          <w:rFonts w:ascii="Times New Roman" w:hAnsi="Times New Roman"/>
          <w:b w:val="0"/>
          <w:i w:val="0"/>
          <w:sz w:val="24"/>
        </w:rPr>
        <w:t xml:space="preserve"> Пунктом 1 статьи 611 ГК РФ установлено: «Арендодатель обязан предоставить арендатору имущество в состоянии, соответствующем условиям договора аренды и назначению имущества.» Техника передана [без паспорта самоходной машины / с неисправной гидравликой — акт от «[дата]»] и простаивала с «[дата]» по «[дата]» до ремонта, о чём арендатор уведомил арендодателя. Пунктом 4 статьи 614 ГК РФ предусмотрено: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w:t>
      </w:r>
    </w:p>
    <w:p>
      <w:pPr>
        <w:spacing w:after="120" w:line="276" w:lineRule="auto"/>
        <w:ind w:firstLine="709"/>
        <w:jc w:val="both"/>
      </w:pPr>
      <w:r>
        <w:rPr>
          <w:rFonts w:ascii="Times New Roman" w:hAnsi="Times New Roman"/>
          <w:b/>
          <w:i w:val="0"/>
          <w:sz w:val="24"/>
        </w:rPr>
        <w:t>Арендная плата внесена [частично], расчёт истца это не учитывает.</w:t>
      </w:r>
      <w:r>
        <w:rPr>
          <w:rFonts w:ascii="Times New Roman" w:hAnsi="Times New Roman"/>
          <w:b w:val="0"/>
          <w:i w:val="0"/>
          <w:sz w:val="24"/>
        </w:rPr>
        <w:t xml:space="preserve"> Ответчик оплатил [сумма] рублей платёжными поручениями № [__] с указанием периода, за который вносится плата. Пунктом 1 статьи 319.1 ГК РФ установлено: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 Истец зачёл эти платежи в счёт иных периодов [или иных начислений — коммунальных, штрафов], искусственно увеличив долг за спорный период. Контррасчёт прилагается.</w:t>
      </w:r>
    </w:p>
    <w:p>
      <w:pPr>
        <w:spacing w:after="120" w:line="276" w:lineRule="auto"/>
        <w:ind w:firstLine="709"/>
        <w:jc w:val="both"/>
      </w:pPr>
      <w:r>
        <w:rPr>
          <w:rFonts w:ascii="Times New Roman" w:hAnsi="Times New Roman"/>
          <w:b/>
          <w:i w:val="0"/>
          <w:sz w:val="24"/>
        </w:rPr>
        <w:t>Техника возвращена раньше, чем считает истец.</w:t>
      </w:r>
      <w:r>
        <w:rPr>
          <w:rFonts w:ascii="Times New Roman" w:hAnsi="Times New Roman"/>
          <w:b w:val="0"/>
          <w:i w:val="0"/>
          <w:sz w:val="24"/>
        </w:rPr>
        <w:t xml:space="preserve"> Арендатор возвратил технику «[дата]» на площадку арендодателя [акт, путевой лист, данные GPS-трекера, транспортная накладная трала]; начисление после этой даты неправомерно.</w:t>
      </w:r>
    </w:p>
    <w:p>
      <w:pPr>
        <w:spacing w:after="120" w:line="276" w:lineRule="auto"/>
        <w:jc w:val="center"/>
      </w:pPr>
      <w:r>
        <w:rPr>
          <w:rFonts w:ascii="Times New Roman" w:hAnsi="Times New Roman"/>
          <w:b/>
          <w:i w:val="0"/>
          <w:sz w:val="24"/>
        </w:rPr>
        <w:t>III. Возражения относительно ущерба</w:t>
      </w:r>
    </w:p>
    <w:p>
      <w:pPr>
        <w:spacing w:after="120" w:line="276" w:lineRule="auto"/>
        <w:ind w:firstLine="709"/>
        <w:jc w:val="both"/>
      </w:pPr>
      <w:r>
        <w:rPr>
          <w:rFonts w:ascii="Times New Roman" w:hAnsi="Times New Roman"/>
          <w:b/>
          <w:i w:val="0"/>
          <w:sz w:val="24"/>
        </w:rPr>
        <w:t>Неисправность возникла не из-за эксплуатации арендатором.</w:t>
      </w:r>
      <w:r>
        <w:rPr>
          <w:rFonts w:ascii="Times New Roman" w:hAnsi="Times New Roman"/>
          <w:b w:val="0"/>
          <w:i w:val="0"/>
          <w:sz w:val="24"/>
        </w:rPr>
        <w:t xml:space="preserve"> Статьёй 644 ГК РФ установлено: «Арендатор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 Однако обязанность поддерживать технику не включает ответственность за скрытые дефекты и естественный износ узлов: [поломка двигателя / гидронасоса] вызвана [выработкой ресурса, который истёк до передачи техники — сервисная книжка / заводским дефектом]. Статьёй 622 ГК РФ установлено: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w:t>
      </w:r>
    </w:p>
    <w:p>
      <w:pPr>
        <w:spacing w:after="120" w:line="276" w:lineRule="auto"/>
        <w:ind w:firstLine="709"/>
        <w:jc w:val="both"/>
      </w:pPr>
      <w:r>
        <w:rPr>
          <w:rFonts w:ascii="Times New Roman" w:hAnsi="Times New Roman"/>
          <w:b/>
          <w:i w:val="0"/>
          <w:sz w:val="24"/>
        </w:rPr>
        <w:t>Повреждения не зафиксированы при возврате.</w:t>
      </w:r>
      <w:r>
        <w:rPr>
          <w:rFonts w:ascii="Times New Roman" w:hAnsi="Times New Roman"/>
          <w:b w:val="0"/>
          <w:i w:val="0"/>
          <w:sz w:val="24"/>
        </w:rPr>
        <w:t xml:space="preserve"> Акт возврата подписан без замечаний [или с замечаниями только по [__]]; дефектная ведомость составлена истцом через [__] дней, после эксплуатации техники другими лицами.</w:t>
      </w:r>
    </w:p>
    <w:p>
      <w:pPr>
        <w:spacing w:after="120" w:line="276" w:lineRule="auto"/>
        <w:ind w:firstLine="709"/>
        <w:jc w:val="both"/>
      </w:pPr>
      <w:r>
        <w:rPr>
          <w:rFonts w:ascii="Times New Roman" w:hAnsi="Times New Roman"/>
          <w:b/>
          <w:i w:val="0"/>
          <w:sz w:val="24"/>
        </w:rPr>
        <w:t>Стоимость ремонта завышена.</w:t>
      </w:r>
      <w:r>
        <w:rPr>
          <w:rFonts w:ascii="Times New Roman" w:hAnsi="Times New Roman"/>
          <w:b w:val="0"/>
          <w:i w:val="0"/>
          <w:sz w:val="24"/>
        </w:rPr>
        <w:t xml:space="preserve"> Истец предъявляет стоимость [нового агрегата у официального дилера], хотя ремонт возможен за [сумма] рублей; пунктом 2 статьи 393 ГК РФ: «Убытки определяются в соответствии с правилами, предусмотренными статьей 15 настоящего Кодекса.» Ответчик ходатайствует о назначении судебной автотехнической экспертизы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IV.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393, 611, 614, 622, 644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арендной платы и ущерба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автотехническую экспертизу по вопросам о причинах неисправности техники, времени её возникновения и стоимости ремонта.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Акт приёма-передачи техники с отметками о неисправностях, уведомления о простое.</w:t>
      </w:r>
    </w:p>
    <w:p>
      <w:pPr>
        <w:spacing w:after="40" w:line="276" w:lineRule="auto"/>
        <w:jc w:val="left"/>
      </w:pPr>
      <w:r>
        <w:rPr>
          <w:rFonts w:ascii="Times New Roman" w:hAnsi="Times New Roman"/>
          <w:b w:val="0"/>
          <w:i w:val="0"/>
          <w:sz w:val="24"/>
        </w:rPr>
        <w:t>3. Акт возврата техники, путевые листы, данные GPS-трекера, документы о перевозке тралом.</w:t>
      </w:r>
    </w:p>
    <w:p>
      <w:pPr>
        <w:spacing w:after="40" w:line="276" w:lineRule="auto"/>
        <w:jc w:val="left"/>
      </w:pPr>
      <w:r>
        <w:rPr>
          <w:rFonts w:ascii="Times New Roman" w:hAnsi="Times New Roman"/>
          <w:b w:val="0"/>
          <w:i w:val="0"/>
          <w:sz w:val="24"/>
        </w:rPr>
        <w:t>4. Сервисная книжка (ресурс узлов), сведения о стоимости ремонта.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аренде без экипажа арендатор сам отвечает за текущий и капитальный ремонт техники (ст. 644 ГК РФ). Поэтому защита строится на причинах поломки (износ, скрытый дефект) и на завышенном размере ущерба.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