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лицо, считающее имущество своим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исключении имущества из наследственной массы и признании права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исключении [имущества: __] из состава наследства [Ф. И. О. наследодателя], умершего «[дата]», и о признании права собственности истца.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принадлежало наследодателю и входит в наследство.</w:t>
      </w:r>
      <w:r>
        <w:rPr>
          <w:rFonts w:ascii="Times New Roman" w:hAnsi="Times New Roman"/>
          <w:b w:val="0"/>
          <w:i w:val="0"/>
          <w:sz w:val="24"/>
        </w:rPr>
        <w:t xml:space="preserve"> Статьёй 1112 Гражданского кодекса Российской Федерации (далее — ГК РФ) установлено: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 Право собственности наследодателя на [имущество] [зарегистрировано в ЕГРН «[дата]» / подтверждается договором купли-продажи, ПТС, документами о покупке]. Пунктом 1 статьи 131 ГК РФ установлено: «Право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Регистрации подлежат: право собственности, право хозяйственного ведения, право оперативного управления, право пожизненного наследуемого владения, право постоянного пользования, ипотека, сервитуты, а также иные права в случаях, предусмотренных настоящим Кодексом и иными законами.» Зарегистрированное право наследодателя истцом в установленном порядке не оспорено.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собственного права на имущество.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[то, что передавал наследодателю деньги на покупку / пользовался имуществом / имущество было общим с наследодателем без оформления]. Однако пунктом 2 статьи 218 ГК РФ установлено: «Право собственности на имущество, которое имеет собственника, может быть приобретено другим лицом на основании договора купли-продажи, мены, дарения или иной сделки об отчуждении этого имущества.» Ни договора, ни иного основания перехода права к истцу не существует. Передача денег (если она была) порождает не право собственности, а, возможно, обязательственное требование к наследникам в пределах стоимости наследства (статья 1175 ГК РФ: «Каждый из наследников отвечает по долгам наследодателя в пределах стоимости перешедшего к нему наследственного имущества.»).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— переживший супруг:] Доля в общем имуществе выделяется в особом порядке.</w:t>
      </w:r>
      <w:r>
        <w:rPr>
          <w:rFonts w:ascii="Times New Roman" w:hAnsi="Times New Roman"/>
          <w:b w:val="0"/>
          <w:i w:val="0"/>
          <w:sz w:val="24"/>
        </w:rPr>
        <w:t xml:space="preserve"> Статьёй 1150 ГК РФ установлено: «Принадлежащее пережившему супругу наследодателя в силу завещания или закона право наследования не умаляет его права на часть имущества, нажитого во время брака с наследодателем и являющегося их совместной собственностью. Доля умершего супруга в этом имуществе, определяемая в соответствии со статьей 256 настоящего Кодекса, входит в состав наследства и переходит к наследникам в соответствии с правилами, установленными настоящим Кодексом.» Спорное имущество [приобретено наследодателем до брака / получено им в дар] — пунктом 2 статьи 256 ГК РФ установлено: «Имущество,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собственностью.» Поэтому оно является личной собственностью наследодателя и целиком входит в наследство.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имуществом не порождает права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То обстоятельство, что истец [проживал в квартире, пользовался автомобилем, обрабатывал участок], свидетельствует лишь о пользовании с согласия собственника. Для приобретательной давности (статья 234 ГК РФ) требуется добросовестное, открытое, непрерывное владение как своим собственным в течение 15 лет для недвижимости; истец знал, что собственником является наследодатель, и владел по его разрешению.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направлен на уменьшение наследства в ущерб наследникам.</w:t>
      </w:r>
      <w:r>
        <w:rPr>
          <w:rFonts w:ascii="Times New Roman" w:hAnsi="Times New Roman"/>
          <w:b w:val="0"/>
          <w:i w:val="0"/>
          <w:sz w:val="24"/>
        </w:rPr>
        <w:t xml:space="preserve"> Права и обязанности наследодателя перешли к наследникам в порядке универсального правопреемства (пункт 1 статьи 1110 ГК РФ: «При наследовании имущество умершего (наследство, наследственное имущество) переходит к другим лицам в порядке универсального правопреемства, то есть в неизменном виде как единое целое и в один и тот же момент, если из правил настоящего Кодекса не следует иное.»). Исключение имущества из наследства без законных оснований нарушит права ответчика [и кредиторов наследодателя].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Об открытии наследства и о своих правах истец узнал не позднее «[дата]» [похороны наследодателя / получение извещения нотариуса / разговор с ответчиком];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131, 218, 256, 1110, 1112, 1150, 1175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исключении имущества из наследственной массы и признании права собственности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ЕГРН / ПТС / договор, подтверждающие право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Справка нотариуса о составе наследства и наследниках.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приобретении имущества наследодателем (договоры, платёжные документы).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Опирайтесь на зарегистрированное право наследодателя: пока регистрация не оспорена, имущество входит в наследство.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истец давал наследодателю деньги, его возможное требование — денежное (к наследникам в пределах наследства), а не право собственности на вещь.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