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лизингополучатель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 предмета лизинга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лизингодатель</w:t>
      </w:r>
      <w:r>
        <w:rPr>
          <w:rFonts w:ascii="Times New Roman" w:hAnsi="Times New Roman"/>
          <w:b w:val="0"/>
          <w:i w:val="0"/>
          <w:sz w:val="24"/>
        </w:rPr>
        <w:br/>
        <w:t>[наименование]</w:t>
      </w:r>
      <w:r>
        <w:rPr>
          <w:rFonts w:ascii="Times New Roman" w:hAnsi="Times New Roman"/>
          <w:b w:val="0"/>
          <w:i w:val="0"/>
          <w:sz w:val="24"/>
        </w:rPr>
        <w:br/>
        <w:t>адрес: [адрес из ЕГРЮЛ]</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требованиях лизингополучателя, связанных с недостатками предмета лизинга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[соразмерном уменьшении цены / возмещении расходов на устранение недостатков / взыскании убытков] в связи с недостатками [наименование оборудования, техники], приобретённого лизингодателем у ответчика по договору купли-продажи от «[дата]» № [__] для передачи истцу в лизинг.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Требования о расторжении и возврате цены может заявить только лизингодатель как собственник.</w:t>
      </w:r>
      <w:r>
        <w:rPr>
          <w:rFonts w:ascii="Times New Roman" w:hAnsi="Times New Roman"/>
          <w:b w:val="0"/>
          <w:i w:val="0"/>
          <w:sz w:val="24"/>
        </w:rPr>
        <w:t xml:space="preserve"> Пунктом 1 статьи 670 ГК РФ установлено: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 «В отношениях с продавцом арендатор и арендодатель выступают как солидарные кредиторы (статья 326).» Требования, связанные с [отказом от договора купли-продажи, возвратом уплаченной цены], без согласия лизингодателя предъявлять нельзя: цену уплачивал лизингодатель, и взыскание её в пользу лизингополучателя невозможно.</w:t>
      </w:r>
    </w:p>
    <w:p>
      <w:pPr>
        <w:spacing w:after="120" w:line="276" w:lineRule="auto"/>
        <w:ind w:firstLine="709"/>
        <w:jc w:val="both"/>
      </w:pPr>
      <w:r>
        <w:rPr>
          <w:rFonts w:ascii="Times New Roman" w:hAnsi="Times New Roman"/>
          <w:b/>
          <w:i w:val="0"/>
          <w:sz w:val="24"/>
        </w:rPr>
        <w:t>Товар соответствует договору купли-продажи.</w:t>
      </w:r>
      <w:r>
        <w:rPr>
          <w:rFonts w:ascii="Times New Roman" w:hAnsi="Times New Roman"/>
          <w:b w:val="0"/>
          <w:i w:val="0"/>
          <w:sz w:val="24"/>
        </w:rPr>
        <w:t xml:space="preserve"> Пунктом 1 статьи 469 ГК РФ установлено: «Продавец обязан передать покупателю товар, качество которого соответствует договору купли-продажи.» [Характеристики согласованы в спецификации к договору купли-продажи; лизингополучатель участвовал в выборе товара и подписал акт приёма-передачи без замечаний; пусконаладка выполнена «[дата]»].</w:t>
      </w:r>
    </w:p>
    <w:p>
      <w:pPr>
        <w:spacing w:after="120" w:line="276" w:lineRule="auto"/>
        <w:ind w:firstLine="709"/>
        <w:jc w:val="both"/>
      </w:pPr>
      <w:r>
        <w:rPr>
          <w:rFonts w:ascii="Times New Roman" w:hAnsi="Times New Roman"/>
          <w:b/>
          <w:i w:val="0"/>
          <w:sz w:val="24"/>
        </w:rPr>
        <w:t>Недостатки возникли после передачи вследствие эксплуатации.</w:t>
      </w:r>
      <w:r>
        <w:rPr>
          <w:rFonts w:ascii="Times New Roman" w:hAnsi="Times New Roman"/>
          <w:b w:val="0"/>
          <w:i w:val="0"/>
          <w:sz w:val="24"/>
        </w:rPr>
        <w:t xml:space="preserve"> Пунктом 2 статьи 476 ГК РФ установлено: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 [Оборудование эксплуатировалось с нарушением инструкции, ТО не проводилось у авторизованного сервиса, использовались неоригинальные расходные материалы — сервисные отчёты.]</w:t>
      </w:r>
    </w:p>
    <w:p>
      <w:pPr>
        <w:spacing w:after="120" w:line="276" w:lineRule="auto"/>
        <w:ind w:firstLine="709"/>
        <w:jc w:val="both"/>
      </w:pPr>
      <w:r>
        <w:rPr>
          <w:rFonts w:ascii="Times New Roman" w:hAnsi="Times New Roman"/>
          <w:b/>
          <w:i w:val="0"/>
          <w:sz w:val="24"/>
        </w:rPr>
        <w:t>Риск выбора продавца и предмета лежит на лизингополучателе.</w:t>
      </w:r>
      <w:r>
        <w:rPr>
          <w:rFonts w:ascii="Times New Roman" w:hAnsi="Times New Roman"/>
          <w:b w:val="0"/>
          <w:i w:val="0"/>
          <w:sz w:val="24"/>
        </w:rPr>
        <w:t xml:space="preserve"> Пунктом 3 статьи 22 Федерального закона «О финансовой аренде (лизинге)» установлено: «Риск несоответствия предмета лизинга целям использования этого предмета по договору лизинга и связанные с этим убытки несет сторона, которая выбрала предмет лизинга, если иное не предусмотрено договором лизинга.» [Если товар не подходит для целей лизингополучателя, но соответствует договору, продавец за это не отвечает.]</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[Упущенная выгода от простоя рассчитана произвольно; производство не останавливалось; простой вызван отсутствием у лизингополучателя обученного персонала.]</w:t>
      </w:r>
    </w:p>
    <w:p>
      <w:pPr>
        <w:spacing w:after="120" w:line="276" w:lineRule="auto"/>
        <w:ind w:firstLine="709"/>
        <w:jc w:val="both"/>
      </w:pPr>
      <w:r>
        <w:rPr>
          <w:rFonts w:ascii="Times New Roman" w:hAnsi="Times New Roman"/>
          <w:b/>
          <w:i w:val="0"/>
          <w:sz w:val="24"/>
        </w:rPr>
        <w:t>Необходима экспертиза.</w:t>
      </w:r>
      <w:r>
        <w:rPr>
          <w:rFonts w:ascii="Times New Roman" w:hAnsi="Times New Roman"/>
          <w:b w:val="0"/>
          <w:i w:val="0"/>
          <w:sz w:val="24"/>
        </w:rPr>
        <w:t xml:space="preserve"> Ответчик ходатайствует о назначении судебной технической экспертизы о наличии, характере и причинах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469, 476, 670 ГК РФ, статьёй 22 Федерального закона «О финансовой аренде (лизинге)»,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техническую экспертизу по вопросам о наличии, характере и причинах недостатков предмета лизинга.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купли-продажи и спецификация, акт приёма-передачи и пусконаладки.</w:t>
      </w:r>
    </w:p>
    <w:p>
      <w:pPr>
        <w:spacing w:after="40" w:line="276" w:lineRule="auto"/>
        <w:jc w:val="left"/>
      </w:pPr>
      <w:r>
        <w:rPr>
          <w:rFonts w:ascii="Times New Roman" w:hAnsi="Times New Roman"/>
          <w:b w:val="0"/>
          <w:i w:val="0"/>
          <w:sz w:val="24"/>
        </w:rPr>
        <w:t>3. Сервисные отчёты, документы о нарушении правил эксплуатации.</w:t>
      </w:r>
    </w:p>
    <w:p>
      <w:pPr>
        <w:spacing w:after="40" w:line="276" w:lineRule="auto"/>
        <w:jc w:val="left"/>
      </w:pPr>
      <w:r>
        <w:rPr>
          <w:rFonts w:ascii="Times New Roman" w:hAnsi="Times New Roman"/>
          <w:b w:val="0"/>
          <w:i w:val="0"/>
          <w:sz w:val="24"/>
        </w:rPr>
        <w:t>4. Документы о выборе товара лизингополучателем.</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кто выбирал продавца и товар (ст. 22 Закона о лизинге, ст. 665 ГК РФ): от этого зависит, на ком лежит риск несоответствия товара целям лизингополучателя.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