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собственники / новая управляющая организация / ТСЖ</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прежняя управляющая организация</w:t>
      </w:r>
      <w:r>
        <w:rPr>
          <w:rFonts w:ascii="Times New Roman" w:hAnsi="Times New Roman"/>
          <w:b w:val="0"/>
          <w:i w:val="0"/>
          <w:sz w:val="24"/>
        </w:rPr>
        <w:br/>
        <w:t>[полное наименование управляющей организации / ТСЖ]</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неосновательного обогащения (неизрасходованных средств собственников)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 ответчика неизрасходованных денежных средств собственников, собранных на содержание и текущий ремонт многоквартирного дома по адресу: [адрес], в размере [сумма] рублей [и процентов по статье 395 ГК РФ].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Денежные средства получены по договору управления, а не без основания.</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Ответчик получал плату на основании договора управления от «[дата]» и в счёт оказанных услуг. Плата за содержание жилого помещения — это цена услуг по управлению, содержанию и текущему ремонту за соответствующий месяц; она не является целевым накоплением, подлежащим возврату после прекращения договора.</w:t>
      </w:r>
    </w:p>
    <w:p>
      <w:pPr>
        <w:spacing w:after="120" w:line="276" w:lineRule="auto"/>
        <w:ind w:firstLine="709"/>
        <w:jc w:val="both"/>
      </w:pPr>
      <w:r>
        <w:rPr>
          <w:rFonts w:ascii="Times New Roman" w:hAnsi="Times New Roman"/>
          <w:b/>
          <w:i w:val="0"/>
          <w:sz w:val="24"/>
        </w:rPr>
        <w:t>Услуги оказаны на всю сумму полученной платы.</w:t>
      </w:r>
      <w:r>
        <w:rPr>
          <w:rFonts w:ascii="Times New Roman" w:hAnsi="Times New Roman"/>
          <w:b w:val="0"/>
          <w:i w:val="0"/>
          <w:sz w:val="24"/>
        </w:rPr>
        <w:t xml:space="preserve"> Частью 2 статьи 162 Жилищного кодекса Российской Федерации (далее — ЖК РФ) установлено: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 За период управления ответчик выполнил работы и оказал услуги на сумму [сумма] рублей, что подтверждается [актами выполненных работ, подписанными председателем совета дома; ежегодными отчётами; договорами с подрядчиками и платёжными поручениями]. Расходы на управление (вознаграждение управляющей организации) входят в плату и возврату не подлежат.</w:t>
      </w:r>
    </w:p>
    <w:p>
      <w:pPr>
        <w:spacing w:after="120" w:line="276" w:lineRule="auto"/>
        <w:ind w:firstLine="709"/>
        <w:jc w:val="both"/>
      </w:pPr>
      <w:r>
        <w:rPr>
          <w:rFonts w:ascii="Times New Roman" w:hAnsi="Times New Roman"/>
          <w:b/>
          <w:i w:val="0"/>
          <w:sz w:val="24"/>
        </w:rPr>
        <w:t>Экономия, полученная управляющей организацией, остаётся в её распоряжении.</w:t>
      </w:r>
      <w:r>
        <w:rPr>
          <w:rFonts w:ascii="Times New Roman" w:hAnsi="Times New Roman"/>
          <w:b w:val="0"/>
          <w:i w:val="0"/>
          <w:sz w:val="24"/>
        </w:rPr>
        <w:t xml:space="preserve"> Частью 12 статьи 162 ЖК РФ установлено: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 [Если фактические расходы оказались ниже заложенных в плату при надлежащем качестве услуг — разница является экономией ответчика; актов нарушения качества за спорный период не составлялось.]</w:t>
      </w:r>
    </w:p>
    <w:p>
      <w:pPr>
        <w:spacing w:after="120" w:line="276" w:lineRule="auto"/>
        <w:ind w:firstLine="709"/>
        <w:jc w:val="both"/>
      </w:pPr>
      <w:r>
        <w:rPr>
          <w:rFonts w:ascii="Times New Roman" w:hAnsi="Times New Roman"/>
          <w:b/>
          <w:i w:val="0"/>
          <w:sz w:val="24"/>
        </w:rPr>
        <w:t>Расчёт истца не учитывает задолженность собственников.</w:t>
      </w:r>
      <w:r>
        <w:rPr>
          <w:rFonts w:ascii="Times New Roman" w:hAnsi="Times New Roman"/>
          <w:b w:val="0"/>
          <w:i w:val="0"/>
          <w:sz w:val="24"/>
        </w:rPr>
        <w:t xml:space="preserve"> Истец рассчитал «остаток» как разницу между начисленной платой и затратами, тогда как фактически собрано лишь [__] % начисленного; задолженность собственников составляет [сумма] рублей. Неполученные денежные средства не могут быть неосновательным обогащением ответчика.</w:t>
      </w:r>
    </w:p>
    <w:p>
      <w:pPr>
        <w:spacing w:after="120" w:line="276" w:lineRule="auto"/>
        <w:ind w:firstLine="709"/>
        <w:jc w:val="both"/>
      </w:pPr>
      <w:r>
        <w:rPr>
          <w:rFonts w:ascii="Times New Roman" w:hAnsi="Times New Roman"/>
          <w:b/>
          <w:i w:val="0"/>
          <w:sz w:val="24"/>
        </w:rPr>
        <w:t>[Если на доме был перерасход:] Ответчик затратил больше, чем получил.</w:t>
      </w:r>
      <w:r>
        <w:rPr>
          <w:rFonts w:ascii="Times New Roman" w:hAnsi="Times New Roman"/>
          <w:b w:val="0"/>
          <w:i w:val="0"/>
          <w:sz w:val="24"/>
        </w:rPr>
        <w:t xml:space="preserve"> По итогам управления расходы ответчика превысили поступления на [сумма] рублей (отчёт прилагается); у ответчика нет никакого «остатка».</w:t>
      </w:r>
    </w:p>
    <w:p>
      <w:pPr>
        <w:spacing w:after="120" w:line="276" w:lineRule="auto"/>
        <w:ind w:firstLine="709"/>
        <w:jc w:val="both"/>
      </w:pPr>
      <w:r>
        <w:rPr>
          <w:rFonts w:ascii="Times New Roman" w:hAnsi="Times New Roman"/>
          <w:b/>
          <w:i w:val="0"/>
          <w:sz w:val="24"/>
        </w:rPr>
        <w:t>Проценты по статье 395 ГК РФ не подлежат взысканию.</w:t>
      </w:r>
      <w:r>
        <w:rPr>
          <w:rFonts w:ascii="Times New Roman" w:hAnsi="Times New Roman"/>
          <w:b w:val="0"/>
          <w:i w:val="0"/>
          <w:sz w:val="24"/>
        </w:rPr>
        <w:t xml:space="preserve"> Пунктом 2 статьи 1107 ГК РФ проценты начисляются с момента, когда приобретатель узнал или должен был узнать о неосновательности получения средств: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о неосновательности не знал и не мог знать, так как средства получены по договору и израсходованы на дом.</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Договор управления прекращён «[дата]»; [часть требований касается платежей за период более трёх лет до подачи иска].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Истец — ненадлежащий истец [если иск предъявлен новой УК].</w:t>
      </w:r>
      <w:r>
        <w:rPr>
          <w:rFonts w:ascii="Times New Roman" w:hAnsi="Times New Roman"/>
          <w:b w:val="0"/>
          <w:i w:val="0"/>
          <w:sz w:val="24"/>
        </w:rPr>
        <w:t xml:space="preserve"> Право требования к прежней управляющей организации принадлежит собственникам; новая управляющая организация вправе его предъявить лишь при наличии решения общего собрания о передаче ей таких полномочий. [Такого решения нет.]</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Расчёт «остатка средств», представленный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162 ЖК РФ, статьями 196, 199, 395, 1102, 1107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неосновательного обогащения и процентов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управления, отчёты управляющей организации за весь период управления.</w:t>
      </w:r>
    </w:p>
    <w:p>
      <w:pPr>
        <w:spacing w:after="40" w:line="276" w:lineRule="auto"/>
        <w:jc w:val="left"/>
      </w:pPr>
      <w:r>
        <w:rPr>
          <w:rFonts w:ascii="Times New Roman" w:hAnsi="Times New Roman"/>
          <w:b w:val="0"/>
          <w:i w:val="0"/>
          <w:sz w:val="24"/>
        </w:rPr>
        <w:t>3. Акты выполненных работ, договоры с подрядчиками, платёжные поручения.</w:t>
      </w:r>
    </w:p>
    <w:p>
      <w:pPr>
        <w:spacing w:after="40" w:line="276" w:lineRule="auto"/>
        <w:jc w:val="left"/>
      </w:pPr>
      <w:r>
        <w:rPr>
          <w:rFonts w:ascii="Times New Roman" w:hAnsi="Times New Roman"/>
          <w:b w:val="0"/>
          <w:i w:val="0"/>
          <w:sz w:val="24"/>
        </w:rPr>
        <w:t>4. Сведения о начислениях и фактических поступлениях по дому (оборотная ведомость).</w:t>
      </w:r>
    </w:p>
    <w:p>
      <w:pPr>
        <w:spacing w:after="40" w:line="276" w:lineRule="auto"/>
        <w:jc w:val="left"/>
      </w:pPr>
      <w:r>
        <w:rPr>
          <w:rFonts w:ascii="Times New Roman" w:hAnsi="Times New Roman"/>
          <w:b w:val="0"/>
          <w:i w:val="0"/>
          <w:sz w:val="24"/>
        </w:rPr>
        <w:t>5. Расчёт расходов и доходов по дому за период управления.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Сопоставьте не «начислено — израсходовано», а «фактически собрано — израсходовано»: долги собственников часто превращают «остаток» в перерасход.</w:t>
      </w:r>
    </w:p>
    <w:p>
      <w:pPr>
        <w:spacing w:after="40" w:line="276" w:lineRule="auto"/>
        <w:jc w:val="both"/>
      </w:pPr>
      <w:r>
        <w:rPr>
          <w:rFonts w:ascii="Times New Roman" w:hAnsi="Times New Roman"/>
          <w:b w:val="0"/>
          <w:i/>
          <w:sz w:val="24"/>
        </w:rPr>
        <w:t>— Плата за содержание — цена услуг за месяц, а не накопления; вознаграждение управляющей организации возврату не подлежит.</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