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покупатель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продавец</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государственной регистрации перехода права собственности на недвижимое имущество</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государственной регистрации перехода к истцу права собственности на [объект, кадастровый номер] по договору купли-продажи от «[дата]» № [__] в связи с уклонением ответчика от регистрации.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Ответчик не уклоняется от регистрации: покупатель не исполнил свои обязательства.</w:t>
      </w:r>
      <w:r>
        <w:rPr>
          <w:rFonts w:ascii="Times New Roman" w:hAnsi="Times New Roman"/>
          <w:b w:val="0"/>
          <w:i w:val="0"/>
          <w:sz w:val="24"/>
        </w:rPr>
        <w:t xml:space="preserve"> Пунктом 3 статьи 551 ГК РФ установлено: «В случае, когда одна из сторон уклоняется от государственной регистрации перехода права собственности на недвижимость, суд вправе по требованию другой стороны, а в случаях, предусмотренных законодательством Российской Федерации об исполнительном производстве, также по требованию судебного пристава-исполнителя вынести решение о государственной регистрации перехода права собственности. Сторона, необоснованно уклоняющаяся от государственной регистрации перехода права собственности, должна возместить другой стороне убытки, вызванные задержкой регистрации.» Договором (пункт [__]) переход права регистрируется после полной оплаты; истец оплатил [сумма] рублей из [сумма] рублей. Обязательство продавца подать документы на регистрацию не наступило (статья 328 ГК РФ — встречное исполнение).</w:t>
      </w:r>
    </w:p>
    <w:p>
      <w:pPr>
        <w:spacing w:after="120" w:line="276" w:lineRule="auto"/>
        <w:ind w:firstLine="709"/>
        <w:jc w:val="both"/>
      </w:pPr>
      <w:r>
        <w:rPr>
          <w:rFonts w:ascii="Times New Roman" w:hAnsi="Times New Roman"/>
          <w:b/>
          <w:i w:val="0"/>
          <w:sz w:val="24"/>
        </w:rPr>
        <w:t>Объект не передан покупателю по передаточному акту.</w:t>
      </w:r>
      <w:r>
        <w:rPr>
          <w:rFonts w:ascii="Times New Roman" w:hAnsi="Times New Roman"/>
          <w:b w:val="0"/>
          <w:i w:val="0"/>
          <w:sz w:val="24"/>
        </w:rPr>
        <w:t xml:space="preserve"> Пунктом 1 статьи 556 ГК РФ установлено: «Передача недвижимости продавцом и принятие ее покупателем осуществляются по подписываемому сторонами передаточному акту или иному документу о передаче.» Передаточный акт не подписан [из-за неоплаты / недостатков, на которые ссылается сам истец]; требование о регистрации без передачи имущества несвоевременно.</w:t>
      </w:r>
    </w:p>
    <w:p>
      <w:pPr>
        <w:spacing w:after="120" w:line="276" w:lineRule="auto"/>
        <w:ind w:firstLine="709"/>
        <w:jc w:val="both"/>
      </w:pPr>
      <w:r>
        <w:rPr>
          <w:rFonts w:ascii="Times New Roman" w:hAnsi="Times New Roman"/>
          <w:b/>
          <w:i w:val="0"/>
          <w:sz w:val="24"/>
        </w:rPr>
        <w:t>Договор не заключён [или недействителен].</w:t>
      </w:r>
      <w:r>
        <w:rPr>
          <w:rFonts w:ascii="Times New Roman" w:hAnsi="Times New Roman"/>
          <w:b w:val="0"/>
          <w:i w:val="0"/>
          <w:sz w:val="24"/>
        </w:rPr>
        <w:t xml:space="preserve"> [Предмет не определён — не указаны кадастровый номер и местоположение / цена не согласована (статья 555 ГК РФ) / сделка требовала одобрения как крупная и не одобрена — иск об оспаривании подан, дело № [__]].</w:t>
      </w:r>
    </w:p>
    <w:p>
      <w:pPr>
        <w:spacing w:after="120" w:line="276" w:lineRule="auto"/>
        <w:ind w:firstLine="709"/>
        <w:jc w:val="both"/>
      </w:pPr>
      <w:r>
        <w:rPr>
          <w:rFonts w:ascii="Times New Roman" w:hAnsi="Times New Roman"/>
          <w:b/>
          <w:i w:val="0"/>
          <w:sz w:val="24"/>
        </w:rPr>
        <w:t>Последствия уклонения: убытки только при необоснованном уклонении.</w:t>
      </w:r>
      <w:r>
        <w:rPr>
          <w:rFonts w:ascii="Times New Roman" w:hAnsi="Times New Roman"/>
          <w:b w:val="0"/>
          <w:i w:val="0"/>
          <w:sz w:val="24"/>
        </w:rPr>
        <w:t xml:space="preserve"> Пунктом 3 статьи 165 ГК РФ: «В случаях, предусмотренных пунктами 1 и 2 настоящей статьи, сторона, необоснованно уклоняющаяся от нотариального удостоверения или государственной регистрации сделки, должна возместить другой стороне убытки, вызванные задержкой в совершении или регистрации сделки.» Ответчик действовал обоснованно, отказывая в регистрации до оплаты.</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годичный срок исковой давности.</w:t>
      </w:r>
      <w:r>
        <w:rPr>
          <w:rFonts w:ascii="Times New Roman" w:hAnsi="Times New Roman"/>
          <w:b w:val="0"/>
          <w:i w:val="0"/>
          <w:sz w:val="24"/>
        </w:rPr>
        <w:t xml:space="preserve"> Пунктом 4 статьи 165 ГК РФ установлено: «Срок исковой давности по требованиям, указанным в настоящей статье, составляет один год.» Истец узнал об отказе ответчика от регистрации «[дата]» (письмо № [__]), иск подан «[дата]». Пунктом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ind w:firstLine="709"/>
        <w:jc w:val="both"/>
      </w:pPr>
      <w:r>
        <w:rPr>
          <w:rFonts w:ascii="Times New Roman" w:hAnsi="Times New Roman"/>
          <w:b/>
          <w:i w:val="0"/>
          <w:sz w:val="24"/>
        </w:rPr>
        <w:t>Нарушена исключительная подсудность [если применимо].</w:t>
      </w:r>
      <w:r>
        <w:rPr>
          <w:rFonts w:ascii="Times New Roman" w:hAnsi="Times New Roman"/>
          <w:b w:val="0"/>
          <w:i w:val="0"/>
          <w:sz w:val="24"/>
        </w:rPr>
        <w:t xml:space="preserve"> Частью 1 статьи 38 АПК РФ установлено: «Иски о правах на недвижимое имущество предъявляются в арбитражный суд по месту нахождения этого имущества.» Объект расположен по адресу: [адрес], что относится к компетенции Арбитражного суда [наименование]. Согласно пункту 3 части 2 статьи 39 АПК РФ дело передаётся, если «при рассмотрении дела в суде выяснилось, что оно было принято к производству с нарушением правил подсудности»</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165, 199, 328, 551, 556 ГК РФ, статьями 38,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государственной регистрации перехода права собственности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Договор купли-продажи (условия о порядке оплаты и регистрации).</w:t>
      </w:r>
    </w:p>
    <w:p>
      <w:pPr>
        <w:spacing w:after="40" w:line="276" w:lineRule="auto"/>
        <w:jc w:val="left"/>
      </w:pPr>
      <w:r>
        <w:rPr>
          <w:rFonts w:ascii="Times New Roman" w:hAnsi="Times New Roman"/>
          <w:b w:val="0"/>
          <w:i w:val="0"/>
          <w:sz w:val="24"/>
        </w:rPr>
        <w:t>3. Документы о неполной оплате (выписка по счёту, акт сверки), требование об оплате.</w:t>
      </w:r>
    </w:p>
    <w:p>
      <w:pPr>
        <w:spacing w:after="40" w:line="276" w:lineRule="auto"/>
        <w:jc w:val="left"/>
      </w:pPr>
      <w:r>
        <w:rPr>
          <w:rFonts w:ascii="Times New Roman" w:hAnsi="Times New Roman"/>
          <w:b w:val="0"/>
          <w:i w:val="0"/>
          <w:sz w:val="24"/>
        </w:rPr>
        <w:t>4. Переписка о передаче объекта и подписании акта.</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исковой давности по требованию о регистрации — один год (п. 4 ст. 165 ГК РФ) с момента, когда покупатель узнал об уклонении продавца. Это часто решающий довод.</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