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осуществившая постройку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орган местного самоуправления (администрация)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собственности на самовольную постройку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права собственности истца на [нежилое здание, пристройку] площадью [__] кв. м по адресу: [адрес], возведённое без разрешения на строительство [ввод в эксплуатацию].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 соблюдены условия признания права на самовольную постройку.</w:t>
      </w:r>
      <w:r>
        <w:rPr>
          <w:rFonts w:ascii="Times New Roman" w:hAnsi="Times New Roman"/>
          <w:b w:val="0"/>
          <w:i w:val="0"/>
          <w:sz w:val="24"/>
        </w:rPr>
        <w:t xml:space="preserve"> Пунктом 3 статьи 222 ГК РФ установлено: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установленным требованиям» «если сохранение постройки не нарушает права и охраняемые законом интересы других лиц и не создает угрозу жизни и здоровью граждан.» [Вид разрешённого использования участка — [__] — не допускает строительства такого объекта / постройка нарушает отступы, предельную высоту, коэффициент застройки по ПЗЗ / не обеспечена противопожарными разрывами.]</w:t>
      </w:r>
    </w:p>
    <w:p>
      <w:pPr>
        <w:spacing w:after="120" w:line="276" w:lineRule="auto"/>
        <w:ind w:firstLine="709"/>
        <w:jc w:val="both"/>
      </w:pPr>
      <w:r>
        <w:rPr>
          <w:rFonts w:ascii="Times New Roman" w:hAnsi="Times New Roman"/>
          <w:b/>
          <w:i w:val="0"/>
          <w:sz w:val="24"/>
        </w:rPr>
        <w:t>Истец не принимал мер к легализации в административном порядке.</w:t>
      </w:r>
      <w:r>
        <w:rPr>
          <w:rFonts w:ascii="Times New Roman" w:hAnsi="Times New Roman"/>
          <w:b w:val="0"/>
          <w:i w:val="0"/>
          <w:sz w:val="24"/>
        </w:rPr>
        <w:t xml:space="preserve"> Истец не обращался за разрешением на строительство и вводом в эксплуатацию либо обратился уже после завершения строительства. Иск о признании права не может подменять административную процедуру, если застройщик не пытался её пройти, а отказ органа не обжаловался.</w:t>
      </w:r>
    </w:p>
    <w:p>
      <w:pPr>
        <w:spacing w:after="120" w:line="276" w:lineRule="auto"/>
        <w:ind w:firstLine="709"/>
        <w:jc w:val="both"/>
      </w:pPr>
      <w:r>
        <w:rPr>
          <w:rFonts w:ascii="Times New Roman" w:hAnsi="Times New Roman"/>
          <w:b/>
          <w:i w:val="0"/>
          <w:sz w:val="24"/>
        </w:rPr>
        <w:t>Сохранение постройки нарушает права третьих лиц и публичные интересы.</w:t>
      </w:r>
      <w:r>
        <w:rPr>
          <w:rFonts w:ascii="Times New Roman" w:hAnsi="Times New Roman"/>
          <w:b w:val="0"/>
          <w:i w:val="0"/>
          <w:sz w:val="24"/>
        </w:rPr>
        <w:t xml:space="preserve"> [Постройка расположена в охранной зоне сетей / зоне с особыми условиями использования / нарушает права собственника смежного участка — заключение, обращения.]</w:t>
      </w:r>
    </w:p>
    <w:p>
      <w:pPr>
        <w:spacing w:after="120" w:line="276" w:lineRule="auto"/>
        <w:ind w:firstLine="709"/>
        <w:jc w:val="both"/>
      </w:pPr>
      <w:r>
        <w:rPr>
          <w:rFonts w:ascii="Times New Roman" w:hAnsi="Times New Roman"/>
          <w:b/>
          <w:i w:val="0"/>
          <w:sz w:val="24"/>
        </w:rPr>
        <w:t>Соответствие требованиям не доказано.</w:t>
      </w:r>
      <w:r>
        <w:rPr>
          <w:rFonts w:ascii="Times New Roman" w:hAnsi="Times New Roman"/>
          <w:b w:val="0"/>
          <w:i w:val="0"/>
          <w:sz w:val="24"/>
        </w:rPr>
        <w:t xml:space="preserve"> Представленное истцом заключение [составлено организацией, не имеющей допуска; не исследованы конструктивная безопасность, пожарные нормы]. Ответчик ходатайствует о судебной строительно-технической экспертизе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Право на недвижимость возникает только с регистрации.</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Решение о признании права может быть лишь основанием для регистрации — при соблюдении всех условий статьи 222 ГК РФ, которых в деле нет.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222 ГК РФ, статьями 38,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права собственности на самовольную постройку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соответствия постройки установленным требованиям.</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Правила землепользования и застройки (выписка), градостроительный план участка.</w:t>
      </w:r>
    </w:p>
    <w:p>
      <w:pPr>
        <w:spacing w:after="40" w:line="276" w:lineRule="auto"/>
        <w:jc w:val="left"/>
      </w:pPr>
      <w:r>
        <w:rPr>
          <w:rFonts w:ascii="Times New Roman" w:hAnsi="Times New Roman"/>
          <w:b w:val="0"/>
          <w:i w:val="0"/>
          <w:sz w:val="24"/>
        </w:rPr>
        <w:t>3. Документы о нарушениях (акты осмотра, обращения смежных правообладателей).</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Отсутствие попыток получить разрешение на строительство и ввод суды учитывают против застройщика. Проверьте переписку истца с органом.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