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 местного самоуправления (смежный 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осуществившее постройку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сносе самовольной постройки или приведении её в соответствие с установленными требованиями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сносе [здания, пристройки, сооружения] по адресу: [адрес] (кадастровый номер [__]) как самовольной постройки либо о приведении его в соответствие с установленными требованиями.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Объект не является самовольной постройкой.</w:t>
      </w:r>
      <w:r>
        <w:rPr>
          <w:rFonts w:ascii="Times New Roman" w:hAnsi="Times New Roman"/>
          <w:b w:val="0"/>
          <w:i w:val="0"/>
          <w:sz w:val="24"/>
        </w:rPr>
        <w:t xml:space="preserve"> Пунктом 1 статьи 222 ГК РФ установлено: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Объект возведён [на участке, принадлежащем ответчику на праве собственности (аренды) с видом разрешённого использования, допускающим строительство / на основании разрешения на строительство от «[дата]» № [__] / не требовал разрешения как объект вспомогательного использования]. Абзацем вторым пункта 1 статьи 222 ГК РФ: «Не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pPr>
        <w:spacing w:after="120" w:line="276" w:lineRule="auto"/>
        <w:ind w:firstLine="709"/>
        <w:jc w:val="both"/>
      </w:pPr>
      <w:r>
        <w:rPr>
          <w:rFonts w:ascii="Times New Roman" w:hAnsi="Times New Roman"/>
          <w:b/>
          <w:i w:val="0"/>
          <w:sz w:val="24"/>
        </w:rPr>
        <w:t>Снос — крайняя мера, нарушения устранимы.</w:t>
      </w:r>
      <w:r>
        <w:rPr>
          <w:rFonts w:ascii="Times New Roman" w:hAnsi="Times New Roman"/>
          <w:b w:val="0"/>
          <w:i w:val="0"/>
          <w:sz w:val="24"/>
        </w:rPr>
        <w:t xml:space="preserve"> Абзацем четвёртым пункта 2 статьи 222 ГК РФ предусмотрено: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Выявленные отклонения [превышение площади застройки на [__] %, отступ от границы] устранимы без сноса [заключение специалиста]; объект соответствует строительным, пожарным и санитарным нормам и не создаёт угрозы жизни и здоровью. Ответчик ходатайствует о судебной строительно-технической экспертизе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Права истца сохранением постройки не нарушены.</w:t>
      </w:r>
      <w:r>
        <w:rPr>
          <w:rFonts w:ascii="Times New Roman" w:hAnsi="Times New Roman"/>
          <w:b w:val="0"/>
          <w:i w:val="0"/>
          <w:sz w:val="24"/>
        </w:rPr>
        <w:t xml:space="preserve"> [Истец — смежный правообладатель — не доказал, что постройка препятствует использованию его участка / нарушает инсоляцию / создаёт угрозу.] Требование о сносе как мера негаторной защиты (статья 304 ГК РФ: «Собственник может требовать устранения всяких нарушений его права, хотя бы эти нарушения и не были соединены с лишением владения.») возможно лишь при реальном нарушении.</w:t>
      </w:r>
    </w:p>
    <w:p>
      <w:pPr>
        <w:spacing w:after="120" w:line="276" w:lineRule="auto"/>
        <w:ind w:firstLine="709"/>
        <w:jc w:val="both"/>
      </w:pPr>
      <w:r>
        <w:rPr>
          <w:rFonts w:ascii="Times New Roman" w:hAnsi="Times New Roman"/>
          <w:b/>
          <w:i w:val="0"/>
          <w:sz w:val="24"/>
        </w:rPr>
        <w:t>Срок для приведения в соответствие должен быть разумным.</w:t>
      </w:r>
      <w:r>
        <w:rPr>
          <w:rFonts w:ascii="Times New Roman" w:hAnsi="Times New Roman"/>
          <w:b w:val="0"/>
          <w:i w:val="0"/>
          <w:sz w:val="24"/>
        </w:rPr>
        <w:t xml:space="preserve"> Пунктом 3.1 статьи 222 ГК РФ установлено: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пунктом 4 настоящей статьи, органами местного самоуправления в соответствии с их компетенцией, установленной законом.» С учётом характера работ ответчик просит установить срок не менее [__] месяцев.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Срок исковой давности [если применимо].</w:t>
      </w:r>
      <w:r>
        <w:rPr>
          <w:rFonts w:ascii="Times New Roman" w:hAnsi="Times New Roman"/>
          <w:b w:val="0"/>
          <w:i w:val="0"/>
          <w:sz w:val="24"/>
        </w:rPr>
        <w:t xml:space="preserve"> На требование о сносе распространяется общий срок исковой давности, если постройка не создаёт угрозы жизни и здоровью и истец не владеет участком; объект существует с [__] года, истец знал о нём с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222, 304 ГК РФ, статьями 38,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сносе постройки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соответствия объекта установленным требованиям и возможности устранения нарушений без сноса.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Правоустанавливающие документы на земельный участок (вид разрешённого использования).</w:t>
      </w:r>
    </w:p>
    <w:p>
      <w:pPr>
        <w:spacing w:after="40" w:line="276" w:lineRule="auto"/>
        <w:jc w:val="left"/>
      </w:pPr>
      <w:r>
        <w:rPr>
          <w:rFonts w:ascii="Times New Roman" w:hAnsi="Times New Roman"/>
          <w:b w:val="0"/>
          <w:i w:val="0"/>
          <w:sz w:val="24"/>
        </w:rPr>
        <w:t>3. Разрешение на строительство, проект, градостроительный план участка [если есть].</w:t>
      </w:r>
    </w:p>
    <w:p>
      <w:pPr>
        <w:spacing w:after="40" w:line="276" w:lineRule="auto"/>
        <w:jc w:val="left"/>
      </w:pPr>
      <w:r>
        <w:rPr>
          <w:rFonts w:ascii="Times New Roman" w:hAnsi="Times New Roman"/>
          <w:b w:val="0"/>
          <w:i w:val="0"/>
          <w:sz w:val="24"/>
        </w:rPr>
        <w:t>4. Заключение специалиста о соответствии объекта нормам и об отсутствии угрозы.</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сносят постройку лишь при существенных и неустранимых нарушениях или угрозе жизни и здоровью. Экспертиза о соответствии нормам — главное доказательство ответчика.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