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вышедший участник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общество</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действительной стоимости доли в уставном капитале и процентов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действительной стоимости доли [__] % в уставном капитале [наименование ООО] в размере [сумма] рублей в связи с выходом истца из общества «[дата]» и процентов.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Срок выплаты не наступил.</w:t>
      </w:r>
      <w:r>
        <w:rPr>
          <w:rFonts w:ascii="Times New Roman" w:hAnsi="Times New Roman"/>
          <w:b w:val="0"/>
          <w:i w:val="0"/>
          <w:sz w:val="24"/>
        </w:rPr>
        <w:t xml:space="preserve"> Пунктом 8 статьи 23 Федерального закона от 08.02.1998 № 14-ФЗ «Об обществах с ограниченной ответственностью» (далее — Закон об ООО) установлено: «Общество обязано выплатить действительную стоимость доли или части доли в уставном капитале общества либо выдать в натуре имущество такой же стоимости в течение одного года со дня перехода к обществу доли или части доли, если меньший срок не предусмотрен настоящим Федеральным законом или уставом общества.» Заявление о выходе получено обществом «[дата]», доля перешла к обществу в тот же день, поэтому срок выплаты истекает «[дата]»; требование до этой даты преждевременно, проценты не начисляются.</w:t>
      </w:r>
    </w:p>
    <w:p>
      <w:pPr>
        <w:spacing w:after="120" w:line="276" w:lineRule="auto"/>
        <w:ind w:firstLine="709"/>
        <w:jc w:val="both"/>
      </w:pPr>
      <w:r>
        <w:rPr>
          <w:rFonts w:ascii="Times New Roman" w:hAnsi="Times New Roman"/>
          <w:b/>
          <w:i w:val="0"/>
          <w:sz w:val="24"/>
        </w:rPr>
        <w:t>Действительная стоимость определена неверно.</w:t>
      </w:r>
      <w:r>
        <w:rPr>
          <w:rFonts w:ascii="Times New Roman" w:hAnsi="Times New Roman"/>
          <w:b w:val="0"/>
          <w:i w:val="0"/>
          <w:sz w:val="24"/>
        </w:rPr>
        <w:t xml:space="preserve"> Пунктом 6.1 статьи 23 Закона об ООО установлено: «В случае выхода участника общества из общества в соответствии со статьей 26 настоящего Федерального закона его доля переходит к обществу. При этом общество обязано выплатить вышедшему из общества участнику общества действительную стоимость его доли в уставном капитале общества, определяемую на основании данных бухгалтерской отчетности общества за последний отчетный период, предшествующий дате перехода к обществу доли вышедшего из общества участника общества, или с согласия этого участника общества выдать ему в натуре имущество такой же стоимости либо в случае неполной оплаты им доли в уставном капитале общества действительную стоимость оплаченной части доли.» Стоимость определяется на основании данных бухгалтерской отчётности за последний отчётный период, предшествующий дню подачи заявления о выходе, — пропорционально доле от стоимости чистых активов [сумма] рублей. Истец рассчитал её [по рыночной оценке бизнеса / с учётом активов, не отражённых в отчётности / без учёта обязательств общества].</w:t>
      </w:r>
    </w:p>
    <w:p>
      <w:pPr>
        <w:spacing w:after="120" w:line="276" w:lineRule="auto"/>
        <w:ind w:firstLine="709"/>
        <w:jc w:val="both"/>
      </w:pPr>
      <w:r>
        <w:rPr>
          <w:rFonts w:ascii="Times New Roman" w:hAnsi="Times New Roman"/>
          <w:b/>
          <w:i w:val="0"/>
          <w:sz w:val="24"/>
        </w:rPr>
        <w:t>[Если истец оспаривает данные отчётности:] Достоверность отчётности подтверждена.</w:t>
      </w:r>
      <w:r>
        <w:rPr>
          <w:rFonts w:ascii="Times New Roman" w:hAnsi="Times New Roman"/>
          <w:b w:val="0"/>
          <w:i w:val="0"/>
          <w:sz w:val="24"/>
        </w:rPr>
        <w:t xml:space="preserve"> Отчётность [проверена аудитором / сдана в налоговый орган / утверждена общим собранием с участием истца]. Если истец настаивает на рыночной стоимости активов, ответчик ходатайствует о судебной оценочной экспертизе на дату окончания последнего отчётного периода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ind w:firstLine="709"/>
        <w:jc w:val="both"/>
      </w:pPr>
      <w:r>
        <w:rPr>
          <w:rFonts w:ascii="Times New Roman" w:hAnsi="Times New Roman"/>
          <w:b/>
          <w:i w:val="0"/>
          <w:sz w:val="24"/>
        </w:rPr>
        <w:t>Выход из общества невозможен или заявление недействительно [если применимо].</w:t>
      </w:r>
      <w:r>
        <w:rPr>
          <w:rFonts w:ascii="Times New Roman" w:hAnsi="Times New Roman"/>
          <w:b w:val="0"/>
          <w:i w:val="0"/>
          <w:sz w:val="24"/>
        </w:rPr>
        <w:t xml:space="preserve"> Пунктом 1 статьи 26 Закона об ООО установлено: «Участник общества вправе выйти из общества путем отчуждения доли обществу независимо от согласия других его участников или общества, если это предусмотрено уставом общества. Заявление участника общества о выходе из общества должно быть нотариально удостоверено по правилам, предусмотренным законодательством о нотариате для удостоверения сделок.» [Право на выход уставом не предусмотрено / заявление не удостоверено нотариально].</w:t>
      </w:r>
    </w:p>
    <w:p>
      <w:pPr>
        <w:spacing w:after="120" w:line="276" w:lineRule="auto"/>
        <w:ind w:firstLine="709"/>
        <w:jc w:val="both"/>
      </w:pPr>
      <w:r>
        <w:rPr>
          <w:rFonts w:ascii="Times New Roman" w:hAnsi="Times New Roman"/>
          <w:b/>
          <w:i w:val="0"/>
          <w:sz w:val="24"/>
        </w:rPr>
        <w:t>Из стоимости доли подлежит удержанию задолженность истца перед обществом.</w:t>
      </w:r>
      <w:r>
        <w:rPr>
          <w:rFonts w:ascii="Times New Roman" w:hAnsi="Times New Roman"/>
          <w:b w:val="0"/>
          <w:i w:val="0"/>
          <w:sz w:val="24"/>
        </w:rPr>
        <w:t xml:space="preserve"> Пунктом 4 статьи 26 Закона об ООО выход не освобождает участника от обязанностей, возникших до выхода; у истца имеется [задолженность по договору займа / по возмещению убытков как бывшего директора] на сумму [сумма] рублей, заявленная к зачёту (статья 410 ГК РФ: «Обязательство прекращается полностью или частично зачетом встречного однородного требования, срок которого наступил либо срок которого не указан или определен моментом востребования. В случаях, предусмотренных законом, допускается зачет встречного однородного требования, срок которого не наступил. Для зачета достаточно заявления одной стороны.»).</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иск подан не по месту нахождения общества:] Нарушена исключительная подсудность корпоративного спора.</w:t>
      </w:r>
      <w:r>
        <w:rPr>
          <w:rFonts w:ascii="Times New Roman" w:hAnsi="Times New Roman"/>
          <w:b w:val="0"/>
          <w:i w:val="0"/>
          <w:sz w:val="24"/>
        </w:rPr>
        <w:t xml:space="preserve"> Частью 4.1 статьи 38 АПК РФ установлено: «Исковое заявление или заявление по спору, указанному в статье 225.1 настоящего Кодекса, подается в арбитражный суд по адресу юридического лица, указанного в статье 225.1 настоящего Кодекса.» Общество находится по адресу: [адрес из ЕГРЮЛ], что относится к компетенции Арбитражного суда [наименование]. Пунктом 3 части 2 статьи 39 АПК РФ дело подлежит передаче, если «при рассмотрении дела в суде выяснилось, что оно было принято к производству с нарушением правил подсудности»</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410 ГК РФ, статьями 23, 26 Закона об ООО, статьями 38, 65, 70, 71, 82,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действительной стоимости доли и процентов к [наименование ответчика] в полном объёме.</w:t>
      </w:r>
    </w:p>
    <w:p>
      <w:pPr>
        <w:spacing w:after="120" w:line="276" w:lineRule="auto"/>
        <w:ind w:firstLine="709"/>
        <w:jc w:val="both"/>
      </w:pPr>
      <w:r>
        <w:rPr>
          <w:rFonts w:ascii="Times New Roman" w:hAnsi="Times New Roman"/>
          <w:b w:val="0"/>
          <w:i w:val="0"/>
          <w:sz w:val="24"/>
        </w:rPr>
        <w:t>2. [В случае удовлетворения иска в какой-либо части] определить действительную стоимость доли по данным бухгалтерской отчётности на «[дата]» — не более [сумма] рублей.</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Бухгалтерская отчётность за последний отчётный период до подачи заявления о выходе, расчёт чистых активов.</w:t>
      </w:r>
    </w:p>
    <w:p>
      <w:pPr>
        <w:spacing w:after="40" w:line="276" w:lineRule="auto"/>
        <w:jc w:val="left"/>
      </w:pPr>
      <w:r>
        <w:rPr>
          <w:rFonts w:ascii="Times New Roman" w:hAnsi="Times New Roman"/>
          <w:b w:val="0"/>
          <w:i w:val="0"/>
          <w:sz w:val="24"/>
        </w:rPr>
        <w:t>3. Заявление истца о выходе с отметкой о получении.</w:t>
      </w:r>
    </w:p>
    <w:p>
      <w:pPr>
        <w:spacing w:after="40" w:line="276" w:lineRule="auto"/>
        <w:jc w:val="left"/>
      </w:pPr>
      <w:r>
        <w:rPr>
          <w:rFonts w:ascii="Times New Roman" w:hAnsi="Times New Roman"/>
          <w:b w:val="0"/>
          <w:i w:val="0"/>
          <w:sz w:val="24"/>
        </w:rPr>
        <w:t>4. Документы о задолженности истца перед обществом, заявление о зачёте.</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выплаты — один год со дня перехода доли к обществу, если устав не предусматривает меньшего; до его истечения проценты по ст. 395 ГК РФ не начисляются.</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