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(изготовитель) товара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компенсации за нарушение исключительного права на товарный знак и изъятии товара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компенсации в размере [сумма] рублей за нарушение исключительного права на товарный знак № [__] [и изображения], изъятии из оборота и уничтожении товара.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Факт нарушения именно ответчиком не доказан.</w:t>
      </w:r>
      <w:r>
        <w:rPr>
          <w:rFonts w:ascii="Times New Roman" w:hAnsi="Times New Roman"/>
          <w:b w:val="0"/>
          <w:i w:val="0"/>
          <w:sz w:val="24"/>
        </w:rPr>
        <w:t xml:space="preserve"> [Видеозапись контрольной закупки не позволяет установить место продажи и продавца / чек выдан иным лицом / скриншоты сайта без нотариального осмотра и данных о владельце домена.] Согласно части 1 статьи 65 АПК РФ доказать факт нарушения обязан истец.</w:t>
      </w:r>
    </w:p>
    <w:p>
      <w:pPr>
        <w:spacing w:after="120" w:line="276" w:lineRule="auto"/>
        <w:ind w:firstLine="709"/>
        <w:jc w:val="both"/>
      </w:pPr>
      <w:r>
        <w:rPr>
          <w:rFonts w:ascii="Times New Roman" w:hAnsi="Times New Roman"/>
          <w:b/>
          <w:i w:val="0"/>
          <w:sz w:val="24"/>
        </w:rPr>
        <w:t>Обозначение на товаре не сходно с товарным знаком до степени смешения, товары неоднородны.</w:t>
      </w:r>
      <w:r>
        <w:rPr>
          <w:rFonts w:ascii="Times New Roman" w:hAnsi="Times New Roman"/>
          <w:b w:val="0"/>
          <w:i w:val="0"/>
          <w:sz w:val="24"/>
        </w:rPr>
        <w:t xml:space="preserve"> Пунктом 3 статьи 1484 ГК РФ установлено: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Обозначение ответчика [отличается по звучанию, графике и смыслу / размещено на товаре иного класса МКТУ]; вероятности смешения у потребителя нет.</w:t>
      </w:r>
    </w:p>
    <w:p>
      <w:pPr>
        <w:spacing w:after="120" w:line="276" w:lineRule="auto"/>
        <w:ind w:firstLine="709"/>
        <w:jc w:val="both"/>
      </w:pPr>
      <w:r>
        <w:rPr>
          <w:rFonts w:ascii="Times New Roman" w:hAnsi="Times New Roman"/>
          <w:b/>
          <w:i w:val="0"/>
          <w:sz w:val="24"/>
        </w:rPr>
        <w:t>Товар оригинальный — право исчерпано.</w:t>
      </w:r>
      <w:r>
        <w:rPr>
          <w:rFonts w:ascii="Times New Roman" w:hAnsi="Times New Roman"/>
          <w:b w:val="0"/>
          <w:i w:val="0"/>
          <w:sz w:val="24"/>
        </w:rPr>
        <w:t xml:space="preserve"> Статьёй 1487 ГК РФ установлено: «Не является нарушением исключительного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 Товар введён в оборот самим правообладателем или с его согласия: [документы о закупке у официального дистрибьютора, сертификаты, маркировка «Честный знак»]. Он не является контрафактным по смыслу пункта 1 статьи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pPr>
        <w:spacing w:after="120" w:line="276" w:lineRule="auto"/>
        <w:ind w:firstLine="709"/>
        <w:jc w:val="both"/>
      </w:pPr>
      <w:r>
        <w:rPr>
          <w:rFonts w:ascii="Times New Roman" w:hAnsi="Times New Roman"/>
          <w:b/>
          <w:i w:val="0"/>
          <w:sz w:val="24"/>
        </w:rPr>
        <w:t>Ответчик не знал и не должен был знать о нарушении.</w:t>
      </w:r>
      <w:r>
        <w:rPr>
          <w:rFonts w:ascii="Times New Roman" w:hAnsi="Times New Roman"/>
          <w:b w:val="0"/>
          <w:i w:val="0"/>
          <w:sz w:val="24"/>
        </w:rPr>
        <w:t xml:space="preserve"> Пунктом 7 статьи 1252.1 ГК РФ установлено: «Если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абзацем вторым пункта 2 настоящей статьи, в пределах от десяти тысяч до пятисот тысяч рублей и размер компенсации, взыскиваемой в соответствии с абзацами третьим и четвертым пункта 2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 Ответчик приобрёл товар у [поставщика] по договору с заверениями о правомерности, с документами [декларация соответствия, УПД]; признаков контрафакта не было.</w:t>
      </w:r>
    </w:p>
    <w:p>
      <w:pPr>
        <w:spacing w:after="120" w:line="276" w:lineRule="auto"/>
        <w:ind w:firstLine="709"/>
        <w:jc w:val="both"/>
      </w:pPr>
      <w:r>
        <w:rPr>
          <w:rFonts w:ascii="Times New Roman" w:hAnsi="Times New Roman"/>
          <w:b/>
          <w:i w:val="0"/>
          <w:sz w:val="24"/>
        </w:rPr>
        <w:t>Несколько объектов в одном носителе — единая компенсация.</w:t>
      </w:r>
      <w:r>
        <w:rPr>
          <w:rFonts w:ascii="Times New Roman" w:hAnsi="Times New Roman"/>
          <w:b w:val="0"/>
          <w:i w:val="0"/>
          <w:sz w:val="24"/>
        </w:rPr>
        <w:t xml:space="preserve"> Пунктом 4 статьи 1252.1 ГК РФ установлено: «Если в одном контрафактном материальном носителе незаконно использовано несколько результатов интеллектуальной деятельности или средств индивидуализации, то независимо от количества этих результатов интеллектуальной деятельности или средств индивидуализации:» «общий размер компенсации, взыскиваемой в соответствии с абзацем вторым пункта 2 настоящей статьи, определяется судом в пределах от минимального размера до двукратного максимального размера компенсации, предусмотренных положениями настоящего Кодекса для случаев нарушения одного исключительного права на определенный вид результатов интеллектуальной деятельности или определенный вид средств индивидуализации. Если в контрафактном материальном носителе выражены результаты интеллектуальной деятельности и средства индивидуализации, в отношении которых установлены различные пределы компенсации в твердом размере, то общий размер компенсации определяется судом в пределах от наибольшего минимального размера до наибольшего двукратного максимального размера компенсации» Истец требует компенсацию отдельно за каждый [товарный знак / изображение], размещённый на одном товаре, что противоречит этой норме.</w:t>
      </w:r>
    </w:p>
    <w:p>
      <w:pPr>
        <w:spacing w:after="120" w:line="276" w:lineRule="auto"/>
        <w:ind w:firstLine="709"/>
        <w:jc w:val="both"/>
      </w:pPr>
      <w:r>
        <w:rPr>
          <w:rFonts w:ascii="Times New Roman" w:hAnsi="Times New Roman"/>
          <w:b/>
          <w:i w:val="0"/>
          <w:sz w:val="24"/>
        </w:rPr>
        <w:t>Размер компенсации явно завышен.</w:t>
      </w:r>
      <w:r>
        <w:rPr>
          <w:rFonts w:ascii="Times New Roman" w:hAnsi="Times New Roman"/>
          <w:b w:val="0"/>
          <w:i w:val="0"/>
          <w:sz w:val="24"/>
        </w:rPr>
        <w:t xml:space="preserve"> Абзацем пятым пункта 2 статьи 1252.1 ГК РФ установлено: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 Нарушение [единичное, кратковременное, товар реализован в количестве [__] шт. на сумму [сумма] рублей], у правообладателя нет доказательств реальных потерь. Ответчик просит определить компенсацию в минимальном размере.</w:t>
      </w:r>
    </w:p>
    <w:p>
      <w:pPr>
        <w:spacing w:after="120" w:line="276" w:lineRule="auto"/>
        <w:ind w:firstLine="709"/>
        <w:jc w:val="both"/>
      </w:pPr>
      <w:r>
        <w:rPr>
          <w:rFonts w:ascii="Times New Roman" w:hAnsi="Times New Roman"/>
          <w:b/>
          <w:i w:val="0"/>
          <w:sz w:val="24"/>
        </w:rPr>
        <w:t>Компенсация в двукратном размере стоимости права не обоснована.</w:t>
      </w:r>
      <w:r>
        <w:rPr>
          <w:rFonts w:ascii="Times New Roman" w:hAnsi="Times New Roman"/>
          <w:b w:val="0"/>
          <w:i w:val="0"/>
          <w:sz w:val="24"/>
        </w:rPr>
        <w:t xml:space="preserve"> Подпунктом 3 пункта 4 статьи 1515 ГК РФ: «в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 Истец не представил лицензионных договоров, подтверждающих обычную цену права использования тем же способом.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Обязательный претензионный порядок не соблюдён.</w:t>
      </w:r>
      <w:r>
        <w:rPr>
          <w:rFonts w:ascii="Times New Roman" w:hAnsi="Times New Roman"/>
          <w:b w:val="0"/>
          <w:i w:val="0"/>
          <w:sz w:val="24"/>
        </w:rPr>
        <w:t xml:space="preserve"> 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[Претензия ответчику не направлялась / направлена по ненадлежащему адресу / не содержала требования о компенсации в заявленном размере / иск подан до истечения тридцати дней.]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1252, 1252.1, 1484, 1487, 1515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претензия не направлялась];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снизить компенсацию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закупке товара у официального дистрибьютора (договор, УПД, сертификаты).</w:t>
      </w:r>
    </w:p>
    <w:p>
      <w:pPr>
        <w:spacing w:after="40" w:line="276" w:lineRule="auto"/>
        <w:jc w:val="left"/>
      </w:pPr>
      <w:r>
        <w:rPr>
          <w:rFonts w:ascii="Times New Roman" w:hAnsi="Times New Roman"/>
          <w:b w:val="0"/>
          <w:i w:val="0"/>
          <w:sz w:val="24"/>
        </w:rPr>
        <w:t>3. Сравнительная таблица обозначения ответчика и товарного знака истца.</w:t>
      </w:r>
    </w:p>
    <w:p>
      <w:pPr>
        <w:spacing w:after="40" w:line="276" w:lineRule="auto"/>
        <w:jc w:val="left"/>
      </w:pPr>
      <w:r>
        <w:rPr>
          <w:rFonts w:ascii="Times New Roman" w:hAnsi="Times New Roman"/>
          <w:b w:val="0"/>
          <w:i w:val="0"/>
          <w:sz w:val="24"/>
        </w:rPr>
        <w:t>4. Сведения об объёме реализации спорного товара.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2025 года в ГК РФ действует ст. 1252.1 о компенсации: для добросовестного предпринимателя, не знавшего о нарушении, суд может снизить компенсацию — используйте этот довод.</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