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160" w:line="276" w:lineRule="auto"/>
        <w:jc w:val="right"/>
      </w:pPr>
      <w:r>
        <w:rPr>
          <w:rFonts w:ascii="Times New Roman" w:hAnsi="Times New Roman"/>
          <w:b w:val="0"/>
          <w:i w:val="0"/>
          <w:sz w:val="24"/>
        </w:rPr>
        <w:t>В Арбитражный суд [наименование субъекта Российской Федерации: города Москвы / Московской области / …]</w:t>
      </w:r>
      <w:r>
        <w:rPr>
          <w:rFonts w:ascii="Times New Roman" w:hAnsi="Times New Roman"/>
          <w:b w:val="0"/>
          <w:i w:val="0"/>
          <w:sz w:val="24"/>
        </w:rPr>
        <w:br/>
        <w:t>[адрес суда]</w:t>
      </w:r>
      <w:r>
        <w:rPr>
          <w:rFonts w:ascii="Times New Roman" w:hAnsi="Times New Roman"/>
          <w:b w:val="0"/>
          <w:i w:val="0"/>
          <w:sz w:val="24"/>
        </w:rPr>
        <w:br/>
        <w:t>Дело № А[__]-[_____]/20[__]</w:t>
      </w:r>
      <w:r>
        <w:rPr>
          <w:rFonts w:ascii="Times New Roman" w:hAnsi="Times New Roman"/>
          <w:b w:val="0"/>
          <w:i w:val="0"/>
          <w:sz w:val="24"/>
        </w:rPr>
        <w:br/>
        <w:t>Судья: [Ф. И. О. судьи]</w:t>
      </w:r>
    </w:p>
    <w:p>
      <w:pPr>
        <w:spacing w:after="160" w:line="276" w:lineRule="auto"/>
        <w:jc w:val="right"/>
      </w:pPr>
      <w:r>
        <w:rPr>
          <w:rFonts w:ascii="Times New Roman" w:hAnsi="Times New Roman"/>
          <w:b/>
          <w:i w:val="0"/>
          <w:sz w:val="24"/>
        </w:rPr>
        <w:t xml:space="preserve">Истец: </w:t>
      </w:r>
      <w:r>
        <w:rPr>
          <w:rFonts w:ascii="Times New Roman" w:hAnsi="Times New Roman"/>
          <w:b w:val="0"/>
          <w:i w:val="0"/>
          <w:sz w:val="24"/>
        </w:rPr>
        <w:t>лицензиар</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p>
    <w:p>
      <w:pPr>
        <w:spacing w:after="160" w:line="276" w:lineRule="auto"/>
        <w:jc w:val="right"/>
      </w:pPr>
      <w:r>
        <w:rPr>
          <w:rFonts w:ascii="Times New Roman" w:hAnsi="Times New Roman"/>
          <w:b/>
          <w:i w:val="0"/>
          <w:sz w:val="24"/>
        </w:rPr>
        <w:t xml:space="preserve">Ответчик: </w:t>
      </w:r>
      <w:r>
        <w:rPr>
          <w:rFonts w:ascii="Times New Roman" w:hAnsi="Times New Roman"/>
          <w:b w:val="0"/>
          <w:i w:val="0"/>
          <w:sz w:val="24"/>
        </w:rPr>
        <w:t>лицензиат</w:t>
      </w:r>
      <w:r>
        <w:rPr>
          <w:rFonts w:ascii="Times New Roman" w:hAnsi="Times New Roman"/>
          <w:b w:val="0"/>
          <w:i w:val="0"/>
          <w:sz w:val="24"/>
        </w:rPr>
        <w:br/>
        <w:t>[полное наименование организации / индивидуальный предприниматель Ф. И. О.]</w:t>
      </w:r>
      <w:r>
        <w:rPr>
          <w:rFonts w:ascii="Times New Roman" w:hAnsi="Times New Roman"/>
          <w:b w:val="0"/>
          <w:i w:val="0"/>
          <w:sz w:val="24"/>
        </w:rPr>
        <w:br/>
        <w:t>адрес: [адрес из ЕГРЮЛ / место жительства ИП]</w:t>
      </w:r>
      <w:r>
        <w:rPr>
          <w:rFonts w:ascii="Times New Roman" w:hAnsi="Times New Roman"/>
          <w:b w:val="0"/>
          <w:i w:val="0"/>
          <w:sz w:val="24"/>
        </w:rPr>
        <w:br/>
        <w:t>ИНН [__________], ОГРН (ОГРНИП) [__________]</w:t>
      </w:r>
      <w:r>
        <w:rPr>
          <w:rFonts w:ascii="Times New Roman" w:hAnsi="Times New Roman"/>
          <w:b w:val="0"/>
          <w:i w:val="0"/>
          <w:sz w:val="24"/>
        </w:rPr>
        <w:br/>
        <w:t>телефон: [__________], адрес электронной почты: [__________]</w:t>
      </w:r>
    </w:p>
    <w:p>
      <w:pPr>
        <w:spacing w:after="0" w:line="276" w:lineRule="auto"/>
        <w:jc w:val="center"/>
      </w:pPr>
      <w:r>
        <w:rPr>
          <w:rFonts w:ascii="Times New Roman" w:hAnsi="Times New Roman"/>
          <w:b/>
          <w:i w:val="0"/>
          <w:sz w:val="24"/>
        </w:rPr>
        <w:t>ОТЗЫВ НА ИСКОВОЕ ЗАЯВЛЕНИЕ</w:t>
      </w:r>
    </w:p>
    <w:p>
      <w:pPr>
        <w:spacing w:after="240" w:line="276" w:lineRule="auto"/>
        <w:jc w:val="center"/>
      </w:pPr>
      <w:r>
        <w:rPr>
          <w:rFonts w:ascii="Times New Roman" w:hAnsi="Times New Roman"/>
          <w:b/>
          <w:i w:val="0"/>
          <w:sz w:val="24"/>
        </w:rPr>
        <w:t>о взыскании лицензионного вознаграждения и неустойки</w:t>
      </w:r>
    </w:p>
    <w:p>
      <w:pPr>
        <w:spacing w:after="120" w:line="276" w:lineRule="auto"/>
        <w:jc w:val="center"/>
      </w:pPr>
      <w:r>
        <w:rPr>
          <w:rFonts w:ascii="Times New Roman" w:hAnsi="Times New Roman"/>
          <w:b/>
          <w:i w:val="0"/>
          <w:sz w:val="24"/>
        </w:rPr>
        <w:t>I. Позиция ответчика</w:t>
      </w:r>
    </w:p>
    <w:p>
      <w:pPr>
        <w:spacing w:after="120" w:line="276" w:lineRule="auto"/>
        <w:ind w:firstLine="709"/>
        <w:jc w:val="both"/>
      </w:pPr>
      <w:r>
        <w:rPr>
          <w:rFonts w:ascii="Times New Roman" w:hAnsi="Times New Roman"/>
          <w:b w:val="0"/>
          <w:i w:val="0"/>
          <w:sz w:val="24"/>
        </w:rPr>
        <w:t>В производстве Арбитражного суда находится дело № А[__]-[_____]/20[__] по исковому заявлению [наименование истца] к [наименование ответчика] о взыскании вознаграждения по лицензионному договору от «[дата]» № [__] за период с «[дата]» по «[дата]» в размере [сумма] рублей и неустойки. Определение о принятии искового заявления к производству и копию иска ответчик получил «[дата]». Ответчик исковые требования не признаёт [в полном объёме / в части: указать] по основаниям, изложенным ниже. Отзыв представляется по статье 131 Арбитражного процессуального кодекса Российской Федерации (далее — АПК РФ), пунктом 3 части 5 которой в отзыве требуется указать «возражения относительно каждого довода, касающегося существа заявленных требований, со ссылкой на законы и иные нормативные правовые акты, а также на доказательства, обосновывающие возражения».</w:t>
      </w:r>
    </w:p>
    <w:p>
      <w:pPr>
        <w:spacing w:after="120" w:line="276" w:lineRule="auto"/>
        <w:ind w:firstLine="709"/>
        <w:jc w:val="both"/>
      </w:pPr>
      <w:r>
        <w:rPr>
          <w:rFonts w:ascii="Times New Roman" w:hAnsi="Times New Roman"/>
          <w:b/>
          <w:i w:val="0"/>
          <w:sz w:val="24"/>
        </w:rPr>
        <w:t>Бремя доказывания лежит на истце.</w:t>
      </w:r>
      <w:r>
        <w:rPr>
          <w:rFonts w:ascii="Times New Roman" w:hAnsi="Times New Roman"/>
          <w:b w:val="0"/>
          <w:i w:val="0"/>
          <w:sz w:val="24"/>
        </w:rPr>
        <w:t xml:space="preserve"> Согласно части 1 статьи 65 АПК РФ «Каждое лицо, участвующее в деле, должно доказать обстоятельства, на которые оно ссылается как на основание своих требований и возражений. Обязанность доказывания обстоятельств, послуживших основанием для принятия государственными органами, органами местного самоуправления, иными органами, должностными лицами оспариваемых актов, решений, совершения действий (бездействия), возлагается на соответствующие орган или должностное лицо.» Ответчик оспаривает все обстоятельства, на которые ссылается истец, поскольку в силу части 3.1 статьи 70 АПК РФ «Обстоятельства, на которые ссылается сторона в обоснование своих требований или возражений, считаются признанными другой стороной, если они ею прямо не оспорены или несогласие с такими обстоятельствами не вытекает из иных доказательств, обосновывающих представленные возражения относительно существа заявленных требований.»</w:t>
      </w:r>
    </w:p>
    <w:p>
      <w:pPr>
        <w:spacing w:after="120" w:line="276" w:lineRule="auto"/>
        <w:jc w:val="center"/>
      </w:pPr>
      <w:r>
        <w:rPr>
          <w:rFonts w:ascii="Times New Roman" w:hAnsi="Times New Roman"/>
          <w:b/>
          <w:i w:val="0"/>
          <w:sz w:val="24"/>
        </w:rPr>
        <w:t>II. Возражения по существу иска</w:t>
      </w:r>
    </w:p>
    <w:p>
      <w:pPr>
        <w:spacing w:after="120" w:line="276" w:lineRule="auto"/>
        <w:ind w:firstLine="709"/>
        <w:jc w:val="both"/>
      </w:pPr>
      <w:r>
        <w:rPr>
          <w:rFonts w:ascii="Times New Roman" w:hAnsi="Times New Roman"/>
          <w:b/>
          <w:i w:val="0"/>
          <w:sz w:val="24"/>
        </w:rPr>
        <w:t>Вознаграждение рассчитано истцом неверно.</w:t>
      </w:r>
      <w:r>
        <w:rPr>
          <w:rFonts w:ascii="Times New Roman" w:hAnsi="Times New Roman"/>
          <w:b w:val="0"/>
          <w:i w:val="0"/>
          <w:sz w:val="24"/>
        </w:rPr>
        <w:t xml:space="preserve"> Пунктом 5 статьи 1235 ГК РФ установлено: «По лицензионному договору лицензиат обязуется уплатить лицензиару обусловленное договором вознаграждение, если договором не предусмотрено иное.» Абзацем третьим: «Выплата вознаграждения по лицензионному договору может быть предусмотрена в форме фиксированных разовых или периодических платежей, процентных отчислений от дохода (выручки) либо в иной форме.» Договором предусмотрено роялти [__] % от [выручки от реализации продукции с использованием объекта], а истец начисляет [от всей выручки ответчика / минимальный платёж за период, когда объект не использовался].</w:t>
      </w:r>
    </w:p>
    <w:p>
      <w:pPr>
        <w:spacing w:after="120" w:line="276" w:lineRule="auto"/>
        <w:ind w:firstLine="709"/>
        <w:jc w:val="both"/>
      </w:pPr>
      <w:r>
        <w:rPr>
          <w:rFonts w:ascii="Times New Roman" w:hAnsi="Times New Roman"/>
          <w:b/>
          <w:i w:val="0"/>
          <w:sz w:val="24"/>
        </w:rPr>
        <w:t>Отчёты представлены, использование было ограниченным.</w:t>
      </w:r>
      <w:r>
        <w:rPr>
          <w:rFonts w:ascii="Times New Roman" w:hAnsi="Times New Roman"/>
          <w:b w:val="0"/>
          <w:i w:val="0"/>
          <w:sz w:val="24"/>
        </w:rPr>
        <w:t xml:space="preserve"> Пунктом 1 статьи 1237 ГК РФ: «Лицензиат обязан представлять лицензиару отчеты об использовании результата интеллектуальной деятельности или средства индивидуализации, если лицензионным договором или настоящим Кодексом не предусмотрено иное. Если в лицензионном договоре, предусматривающем представление отчетов об использовании результата интеллектуальной деятельности или средства индивидуализации, отсутствуют условия о сроке и порядке их представления, лицензиат обязан представлять такие отчеты лицензиару по его требованию.» Ответчик представлял отчёты [ежеквартально — сопроводительные письма]; объём использования [__] единиц продукции подтверждается [данными учёта].</w:t>
      </w:r>
    </w:p>
    <w:p>
      <w:pPr>
        <w:spacing w:after="120" w:line="276" w:lineRule="auto"/>
        <w:ind w:firstLine="709"/>
        <w:jc w:val="both"/>
      </w:pPr>
      <w:r>
        <w:rPr>
          <w:rFonts w:ascii="Times New Roman" w:hAnsi="Times New Roman"/>
          <w:b/>
          <w:i w:val="0"/>
          <w:sz w:val="24"/>
        </w:rPr>
        <w:t>Лицензиар нарушил свои обязанности.</w:t>
      </w:r>
      <w:r>
        <w:rPr>
          <w:rFonts w:ascii="Times New Roman" w:hAnsi="Times New Roman"/>
          <w:b w:val="0"/>
          <w:i w:val="0"/>
          <w:sz w:val="24"/>
        </w:rPr>
        <w:t xml:space="preserve"> Пунктом 2 статьи 1237 ГК РФ: «В течение срока действия лицензионного договора лицензиар обязан воздерживаться от каких-либо действий, способных затруднить осуществление лицензиатом предоставленного ему права использования результата интеллектуальной деятельности или средства индивидуализации в установленных договором пределах.» [Лицензиар предоставил исключительную лицензию и одновременно разрешил использование третьему лицу / не передал техническую документацию / не поддерживал регистрацию товарного знака]. Ответчик приостановил платежи до устранения нарушений (статья 328 ГК РФ).</w:t>
      </w:r>
    </w:p>
    <w:p>
      <w:pPr>
        <w:spacing w:after="120" w:line="276" w:lineRule="auto"/>
        <w:ind w:firstLine="709"/>
        <w:jc w:val="both"/>
      </w:pPr>
      <w:r>
        <w:rPr>
          <w:rFonts w:ascii="Times New Roman" w:hAnsi="Times New Roman"/>
          <w:b/>
          <w:i w:val="0"/>
          <w:sz w:val="24"/>
        </w:rPr>
        <w:t>Исключительное право прекратилось.</w:t>
      </w:r>
      <w:r>
        <w:rPr>
          <w:rFonts w:ascii="Times New Roman" w:hAnsi="Times New Roman"/>
          <w:b w:val="0"/>
          <w:i w:val="0"/>
          <w:sz w:val="24"/>
        </w:rPr>
        <w:t xml:space="preserve"> Абзацем третьим пункта 4 статьи 1235 ГК РФ: «В случае прекращения исключительного права лицензионный договор прекращается.» [Правовая охрана товарного знака прекращена «[дата]» / срок действия патента истёк]; вознаграждение за последующий период не причитается.</w:t>
      </w:r>
    </w:p>
    <w:p>
      <w:pPr>
        <w:spacing w:after="120" w:line="276" w:lineRule="auto"/>
        <w:ind w:firstLine="709"/>
        <w:jc w:val="both"/>
      </w:pPr>
      <w:r>
        <w:rPr>
          <w:rFonts w:ascii="Times New Roman" w:hAnsi="Times New Roman"/>
          <w:b/>
          <w:i w:val="0"/>
          <w:sz w:val="24"/>
        </w:rPr>
        <w:t>[Если суд придёт к выводу об обоснованности требования о неустойке:] Ответчик заявляет о её явной несоразмерности.</w:t>
      </w:r>
      <w:r>
        <w:rPr>
          <w:rFonts w:ascii="Times New Roman" w:hAnsi="Times New Roman"/>
          <w:b w:val="0"/>
          <w:i w:val="0"/>
          <w:sz w:val="24"/>
        </w:rPr>
        <w:t xml:space="preserve"> Пунктом 1 статьи 333 ГК РФ установлено: «Если подлежащая уплате неустойка явно несоразмерна последствиям нарушения обязательства, суд вправе уменьшить неустойку. Если обязательство нарушено лицом, осуществляющим предпринимательскую деятельность, суд вправе уменьшить неустойку при условии заявления должника о таком уменьшении.» Пунктом 2 той же статьи предусмотрено: «Уменьшение неустойки, определенной договором и подлежащей уплате лицом, осуществляющим предпринимательскую деятельность, допускается в исключительных случаях, если будет доказано, что взыскание неустойки в предусмотренном договором размере может привести к получению кредитором необоснованной выгоды.» Неустойка [сумма] рублей составляет [__] % от суммы вознаграждения ([__] % годовых) и многократно превышает ключевую ставку Банка России и ставки по кредитам предпринимателям за тот же период; реальных потерь истец не доказал, поэтому полное взыскание даст ему необоснованную выгоду. Ответчик просит снизить неустойку до [сумма] рублей (расчёт исходя из двукратной ключевой ставки прилагается).</w:t>
      </w:r>
    </w:p>
    <w:p>
      <w:pPr>
        <w:spacing w:after="120" w:line="276" w:lineRule="auto"/>
        <w:jc w:val="center"/>
      </w:pPr>
      <w:r>
        <w:rPr>
          <w:rFonts w:ascii="Times New Roman" w:hAnsi="Times New Roman"/>
          <w:b/>
          <w:i w:val="0"/>
          <w:sz w:val="24"/>
        </w:rPr>
        <w:t>III. Процессуальные возражения</w:t>
      </w:r>
    </w:p>
    <w:p>
      <w:pPr>
        <w:spacing w:after="120" w:line="276" w:lineRule="auto"/>
        <w:ind w:firstLine="709"/>
        <w:jc w:val="both"/>
      </w:pPr>
      <w:r>
        <w:rPr>
          <w:rFonts w:ascii="Times New Roman" w:hAnsi="Times New Roman"/>
          <w:b/>
          <w:i w:val="0"/>
          <w:sz w:val="24"/>
        </w:rPr>
        <w:t>[Если претензия не направлялась или иск подан раньше срока:] Претензионный порядок не соблюдён.</w:t>
      </w:r>
      <w:r>
        <w:rPr>
          <w:rFonts w:ascii="Times New Roman" w:hAnsi="Times New Roman"/>
          <w:b w:val="0"/>
          <w:i w:val="0"/>
          <w:sz w:val="24"/>
        </w:rPr>
        <w:t xml:space="preserve"> Частью 5 статьи 4 АПК РФ установлено: «Гражданско-правовые споры о взыскании денежных средств по требованиям, возникшим из договоров, других сделок, вследствие неосновательного обогащения, могут быть переданы на разрешение арбитражного суда после принятия сторонами мер по досудебному урегулированию по истечении тридцати календарных дней со дня направления претензии (требования), если иные срок и (или) порядок не установлены законом или договором.» Истец [претензию не направлял / направил её не по адресу из ЕГРЮЛ или договора / обратился в суд до истечения тридцати дней (иного срока по договору) / в претензии заявил иные требования, чем в иске]. В силу пункта 2 части 1 статьи 148 АПК РФ арбитражный суд оставляет исковое заявление без рассмотрения, если «истцом не соблюден претензионный или иной досудебный порядок урегулирования спора с ответчиком, за исключением случаев, если его соблюдение не предусмотрено федеральным законом» Ответчик ходатайствует об оставлении иска без рассмотрения. [Если претензионный порядок соблюдён — удалите этот абзац.]</w:t>
      </w:r>
    </w:p>
    <w:p>
      <w:pPr>
        <w:spacing w:after="120" w:line="276" w:lineRule="auto"/>
        <w:ind w:firstLine="709"/>
        <w:jc w:val="both"/>
      </w:pPr>
      <w:r>
        <w:rPr>
          <w:rFonts w:ascii="Times New Roman" w:hAnsi="Times New Roman"/>
          <w:b/>
          <w:i w:val="0"/>
          <w:sz w:val="24"/>
        </w:rPr>
        <w:t>Ответчик заявляет о пропуске срока исковой давности.</w:t>
      </w:r>
      <w:r>
        <w:rPr>
          <w:rFonts w:ascii="Times New Roman" w:hAnsi="Times New Roman"/>
          <w:b w:val="0"/>
          <w:i w:val="0"/>
          <w:sz w:val="24"/>
        </w:rPr>
        <w:t xml:space="preserve"> Пунктом 1 статьи 196 Гражданского кодекса Российской Федерации (далее — ГК РФ) установлено: «Общий срок исковой давности составляет три года со дня, определяемого в соответствии со статьей 200 настоящего Кодекса.» По обязательствам с определённым сроком исполнения действует правило пункта 2 статьи 200 ГК РФ: «По обязательствам с определенным сроком исполнения течение срока исковой давности начинается по окончании срока исполнения.» Срок начал течь по каждому отчётному периоду — со дня, следующего за сроком его оплаты и даже с учётом приостановления на время претензионного порядка истёк «[дата]», а иск подан «[дата]». Пунктом 2 статьи 199 ГК РФ предусмотрено: «Исковая давность применяется судом только по заявлению стороны в споре, сделанному до вынесения судом решения.» «Истечение срока исковой давности, о применении которой заявлено стороной в споре, является основанием к вынесению судом решения об отказе в иске.» [Укажите, по каким платежам (периодам) давность пропущена; если не пропущена — удалите абзац.]</w:t>
      </w:r>
    </w:p>
    <w:p>
      <w:pPr>
        <w:spacing w:after="120" w:line="276" w:lineRule="auto"/>
        <w:jc w:val="center"/>
      </w:pPr>
      <w:r>
        <w:rPr>
          <w:rFonts w:ascii="Times New Roman" w:hAnsi="Times New Roman"/>
          <w:b/>
          <w:i w:val="0"/>
          <w:sz w:val="24"/>
        </w:rPr>
        <w:t>Примирение сторон</w:t>
      </w:r>
    </w:p>
    <w:p>
      <w:pPr>
        <w:spacing w:after="120" w:line="276" w:lineRule="auto"/>
        <w:ind w:firstLine="709"/>
        <w:jc w:val="both"/>
      </w:pPr>
      <w:r>
        <w:rPr>
          <w:rFonts w:ascii="Times New Roman" w:hAnsi="Times New Roman"/>
          <w:b w:val="0"/>
          <w:i w:val="0"/>
          <w:sz w:val="24"/>
        </w:rPr>
        <w:t>Пунктами 3.1 и 3.2 части 5 статьи 131 АПК РФ в отзыве указываются «3.1) сведения о предпринятых ответчиком действиях, направленных на примирение, если такие действия предпринимались» а также «3.2) мнение ответчика о возможности примирения сторон» Ответчик [направлял истцу предложение об урегулировании спора от «[дата]» / предлагал рассрочку погашения — письмо от «[дата]» № [__]]. Ответчик [готов / не готов] к заключению мирового соглашения [на условиях: указать] и [не возражает / возражает] против проведения переговоров или процедуры медиации.</w:t>
      </w:r>
    </w:p>
    <w:p>
      <w:pPr>
        <w:spacing w:after="120" w:line="276" w:lineRule="auto"/>
        <w:jc w:val="center"/>
      </w:pPr>
      <w:r>
        <w:rPr>
          <w:rFonts w:ascii="Times New Roman" w:hAnsi="Times New Roman"/>
          <w:b/>
          <w:i w:val="0"/>
          <w:sz w:val="24"/>
        </w:rPr>
        <w:t>Судебные расходы</w:t>
      </w:r>
    </w:p>
    <w:p>
      <w:pPr>
        <w:spacing w:after="120" w:line="276" w:lineRule="auto"/>
        <w:ind w:firstLine="709"/>
        <w:jc w:val="both"/>
      </w:pPr>
      <w:r>
        <w:rPr>
          <w:rFonts w:ascii="Times New Roman" w:hAnsi="Times New Roman"/>
          <w:b w:val="0"/>
          <w:i w:val="0"/>
          <w:sz w:val="24"/>
        </w:rPr>
        <w:t>Частью 1 статьи 110 АПК РФ установлено: «Судебные расходы, понесенные лицами, участвующими в деле, в пользу которых принят судебный акт, взыскиваются арбитражным судом со стороны.» Абзацем вторым той же части предусмотрено: «В случае, если иск удовлетворен частично, судебные расходы относятся на лиц, участвующих в деле, пропорционально размеру удовлетворенных исковых требований.» Поскольку требования истца не подлежат удовлетворению, расходы истца на него и относятся.</w:t>
      </w:r>
    </w:p>
    <w:p>
      <w:pPr>
        <w:spacing w:after="120" w:line="276" w:lineRule="auto"/>
        <w:ind w:firstLine="709"/>
        <w:jc w:val="both"/>
      </w:pPr>
      <w:r>
        <w:rPr>
          <w:rFonts w:ascii="Times New Roman" w:hAnsi="Times New Roman"/>
          <w:b w:val="0"/>
          <w:i w:val="0"/>
          <w:sz w:val="24"/>
        </w:rPr>
        <w:t>Согласно части 2 статьи 110 АПК РФ «Расходы на оплату услуг представителя, понесенные лицом, в пользу которого принят судебный акт, взыскиваются арбитражным судом с другого лица, участвующего в деле, в разумных пределах.» Заявленные истцом расходы на представителя в сумме [сумма] рублей [чрезмерны: дело типовое, объём документов небольшой / не подтверждены актом и платёжными документами]. Расходы ответчика на представителя — [сумма] рублей (договор от «[дата]» № [__]) — подлежат взысканию с истца.</w:t>
      </w:r>
    </w:p>
    <w:p>
      <w:pPr>
        <w:spacing w:after="120" w:line="276" w:lineRule="auto"/>
        <w:ind w:firstLine="709"/>
        <w:jc w:val="both"/>
      </w:pPr>
      <w:r>
        <w:rPr>
          <w:rFonts w:ascii="Times New Roman" w:hAnsi="Times New Roman"/>
          <w:b w:val="0"/>
          <w:i w:val="0"/>
          <w:sz w:val="24"/>
        </w:rPr>
        <w:t>На основании изложенного, руководствуясь статьями 328, 333, 1235, 1237 ГК РФ, статьями 65, 70, 71, 131, 148 АПК РФ,</w:t>
      </w:r>
    </w:p>
    <w:p>
      <w:pPr>
        <w:spacing w:after="120" w:line="276" w:lineRule="auto"/>
        <w:jc w:val="center"/>
      </w:pPr>
      <w:r>
        <w:rPr>
          <w:rFonts w:ascii="Times New Roman" w:hAnsi="Times New Roman"/>
          <w:b/>
          <w:i w:val="0"/>
          <w:sz w:val="24"/>
        </w:rPr>
        <w:t>ПРОШУ:</w:t>
      </w:r>
    </w:p>
    <w:p>
      <w:pPr>
        <w:spacing w:after="120" w:line="276" w:lineRule="auto"/>
        <w:ind w:firstLine="709"/>
        <w:jc w:val="both"/>
      </w:pPr>
      <w:r>
        <w:rPr>
          <w:rFonts w:ascii="Times New Roman" w:hAnsi="Times New Roman"/>
          <w:b w:val="0"/>
          <w:i w:val="0"/>
          <w:sz w:val="24"/>
        </w:rPr>
        <w:t>1. Отказать [наименование истца] в удовлетворении исковых требований о взыскании вознаграждения и неустойки к [наименование ответчика] в полном объёме.</w:t>
      </w:r>
    </w:p>
    <w:p>
      <w:pPr>
        <w:spacing w:after="120" w:line="276" w:lineRule="auto"/>
        <w:ind w:firstLine="709"/>
        <w:jc w:val="both"/>
      </w:pPr>
      <w:r>
        <w:rPr>
          <w:rFonts w:ascii="Times New Roman" w:hAnsi="Times New Roman"/>
          <w:b w:val="0"/>
          <w:i w:val="0"/>
          <w:sz w:val="24"/>
        </w:rPr>
        <w:t>2. [В случае удовлетворения иска в какой-либо части] уменьшить неустойку на основании статьи 333 ГК РФ.</w:t>
      </w:r>
    </w:p>
    <w:p>
      <w:pPr>
        <w:spacing w:after="120" w:line="276" w:lineRule="auto"/>
        <w:ind w:firstLine="709"/>
        <w:jc w:val="both"/>
      </w:pPr>
      <w:r>
        <w:rPr>
          <w:rFonts w:ascii="Times New Roman" w:hAnsi="Times New Roman"/>
          <w:b w:val="0"/>
          <w:i w:val="0"/>
          <w:sz w:val="24"/>
        </w:rPr>
        <w:t>3. Взыскать с [наименование истца] в пользу [наименование ответчика] расходы на оплату услуг представителя в размере [сумма] рублей.</w:t>
      </w:r>
    </w:p>
    <w:p>
      <w:pPr>
        <w:spacing w:after="120" w:line="276" w:lineRule="auto"/>
        <w:jc w:val="left"/>
      </w:pPr>
      <w:r>
        <w:rPr>
          <w:rFonts w:ascii="Times New Roman" w:hAnsi="Times New Roman"/>
          <w:b/>
          <w:i w:val="0"/>
          <w:sz w:val="24"/>
        </w:rPr>
        <w:t>Приложение:</w:t>
      </w:r>
    </w:p>
    <w:p>
      <w:pPr>
        <w:spacing w:after="40" w:line="276" w:lineRule="auto"/>
        <w:jc w:val="left"/>
      </w:pPr>
      <w:r>
        <w:rPr>
          <w:rFonts w:ascii="Times New Roman" w:hAnsi="Times New Roman"/>
          <w:b w:val="0"/>
          <w:i w:val="0"/>
          <w:sz w:val="24"/>
        </w:rPr>
        <w:t>1. Документы, подтверждающие направление копии отзыва истцу и другим лицам, участвующим в деле (почтовая квитанция и уведомление о вручении / подтверждение отправки через систему «Мой арбитр» или по электронной почте).</w:t>
      </w:r>
    </w:p>
    <w:p>
      <w:pPr>
        <w:spacing w:after="40" w:line="276" w:lineRule="auto"/>
        <w:jc w:val="left"/>
      </w:pPr>
      <w:r>
        <w:rPr>
          <w:rFonts w:ascii="Times New Roman" w:hAnsi="Times New Roman"/>
          <w:b w:val="0"/>
          <w:i w:val="0"/>
          <w:sz w:val="24"/>
        </w:rPr>
        <w:t>2. Отчёты об использовании и доказательства их направления лицензиару.</w:t>
      </w:r>
    </w:p>
    <w:p>
      <w:pPr>
        <w:spacing w:after="40" w:line="276" w:lineRule="auto"/>
        <w:jc w:val="left"/>
      </w:pPr>
      <w:r>
        <w:rPr>
          <w:rFonts w:ascii="Times New Roman" w:hAnsi="Times New Roman"/>
          <w:b w:val="0"/>
          <w:i w:val="0"/>
          <w:sz w:val="24"/>
        </w:rPr>
        <w:t>3. Данные учёта о выпуске продукции с использованием объекта.</w:t>
      </w:r>
    </w:p>
    <w:p>
      <w:pPr>
        <w:spacing w:after="40" w:line="276" w:lineRule="auto"/>
        <w:jc w:val="left"/>
      </w:pPr>
      <w:r>
        <w:rPr>
          <w:rFonts w:ascii="Times New Roman" w:hAnsi="Times New Roman"/>
          <w:b w:val="0"/>
          <w:i w:val="0"/>
          <w:sz w:val="24"/>
        </w:rPr>
        <w:t>4. Документы о нарушениях лицензиара, о прекращении исключительного права.</w:t>
      </w:r>
    </w:p>
    <w:p>
      <w:pPr>
        <w:spacing w:after="40" w:line="276" w:lineRule="auto"/>
        <w:jc w:val="left"/>
      </w:pPr>
      <w:r>
        <w:rPr>
          <w:rFonts w:ascii="Times New Roman" w:hAnsi="Times New Roman"/>
          <w:b w:val="0"/>
          <w:i w:val="0"/>
          <w:sz w:val="24"/>
        </w:rPr>
        <w:t>5. Контррасчёт вознаграждения.</w:t>
      </w:r>
    </w:p>
    <w:p>
      <w:pPr>
        <w:spacing w:after="40" w:line="276" w:lineRule="auto"/>
        <w:jc w:val="left"/>
      </w:pPr>
      <w:r>
        <w:rPr>
          <w:rFonts w:ascii="Times New Roman" w:hAnsi="Times New Roman"/>
          <w:b w:val="0"/>
          <w:i w:val="0"/>
          <w:sz w:val="24"/>
        </w:rPr>
        <w:t>6. Документы о расходах ответчика на представителя (договор, акт оказанных услуг, платёжное поручение) [если заявлены].</w:t>
      </w:r>
    </w:p>
    <w:p>
      <w:pPr>
        <w:spacing w:after="40" w:line="276" w:lineRule="auto"/>
        <w:jc w:val="left"/>
      </w:pPr>
      <w:r>
        <w:rPr>
          <w:rFonts w:ascii="Times New Roman" w:hAnsi="Times New Roman"/>
          <w:b w:val="0"/>
          <w:i w:val="0"/>
          <w:sz w:val="24"/>
        </w:rPr>
        <w:t>7. Документ о полномочиях лица, подписавшего отзыв: решение (протокол) о назначении руководителя либо доверенность представителя и копия диплома о высшем юридическом образовании или документа о статусе адвоката.</w:t>
      </w:r>
    </w:p>
    <w:p>
      <w:pPr>
        <w:spacing w:after="0" w:line="276" w:lineRule="auto" w:before="360"/>
        <w:jc w:val="left"/>
      </w:pPr>
      <w:r>
        <w:rPr>
          <w:rFonts w:ascii="Times New Roman" w:hAnsi="Times New Roman"/>
          <w:b w:val="0"/>
          <w:i w:val="0"/>
          <w:sz w:val="24"/>
        </w:rPr>
        <w:t>«___» __________ 20__ г.</w:t>
        <w:tab/>
        <w:tab/>
        <w:tab/>
        <w:tab/>
        <w:t>__________________ / [Ф. И. О. руководителя или представителя ответчика]</w:t>
      </w:r>
    </w:p>
    <w:p>
      <w:pPr>
        <w:spacing w:after="40" w:line="276" w:lineRule="auto" w:before="360"/>
        <w:jc w:val="left"/>
      </w:pPr>
      <w:r>
        <w:rPr>
          <w:rFonts w:ascii="Times New Roman" w:hAnsi="Times New Roman"/>
          <w:b/>
          <w:i/>
          <w:sz w:val="24"/>
        </w:rPr>
        <w:t>Пояснения к шаблону (удалите перед подачей):</w:t>
      </w:r>
    </w:p>
    <w:p>
      <w:pPr>
        <w:spacing w:after="40" w:line="276" w:lineRule="auto"/>
        <w:jc w:val="both"/>
      </w:pPr>
      <w:r>
        <w:rPr>
          <w:rFonts w:ascii="Times New Roman" w:hAnsi="Times New Roman"/>
          <w:b w:val="0"/>
          <w:i/>
          <w:sz w:val="24"/>
        </w:rPr>
        <w:t>— Для лицензионного договора претензионный порядок по ч. 5 ст. 4 АПК РФ обязателен (это денежное требование из договора).</w:t>
      </w:r>
    </w:p>
    <w:p>
      <w:pPr>
        <w:spacing w:after="40" w:line="276" w:lineRule="auto"/>
        <w:jc w:val="both"/>
      </w:pPr>
      <w:r>
        <w:rPr>
          <w:rFonts w:ascii="Times New Roman" w:hAnsi="Times New Roman"/>
          <w:b w:val="0"/>
          <w:i/>
          <w:sz w:val="24"/>
        </w:rPr>
        <w:t>— Отзыв направляют в суд и всем лицам, участвующим в деле, в срок из определения суда (ч. 1, 3 ст. 131 АПК РФ), удобнее всего — через «Мой арбитр». В упрощённом производстве опоздавший отзыв суд возвращает (ч. 4 ст. 228 АПК РФ).</w:t>
      </w:r>
    </w:p>
    <w:p>
      <w:pPr>
        <w:spacing w:after="40" w:line="276" w:lineRule="auto"/>
        <w:jc w:val="both"/>
      </w:pPr>
      <w:r>
        <w:rPr>
          <w:rFonts w:ascii="Times New Roman" w:hAnsi="Times New Roman"/>
          <w:b w:val="0"/>
          <w:i/>
          <w:sz w:val="24"/>
        </w:rPr>
        <w:t>— Не оспоренные прямо обстоятельства считаются признанными (ч. 3.1 ст. 70 АПК РФ), поэтому возражайте по каждому доводу истца.</w:t>
      </w:r>
    </w:p>
    <w:p>
      <w:pPr>
        <w:spacing w:after="40" w:line="276" w:lineRule="auto"/>
        <w:jc w:val="both"/>
      </w:pPr>
      <w:r>
        <w:rPr>
          <w:rFonts w:ascii="Times New Roman" w:hAnsi="Times New Roman"/>
          <w:b w:val="0"/>
          <w:i/>
          <w:sz w:val="24"/>
        </w:rPr>
        <w:t>— О пропуске исковой давности заявляйте в первой инстанции до решения (п. 2 ст. 199 ГК РФ).</w:t>
      </w:r>
    </w:p>
    <w:p>
      <w:pPr>
        <w:spacing w:after="40" w:line="276" w:lineRule="auto"/>
        <w:jc w:val="both"/>
      </w:pPr>
      <w:r>
        <w:rPr>
          <w:rFonts w:ascii="Times New Roman" w:hAnsi="Times New Roman"/>
          <w:b w:val="0"/>
          <w:i/>
          <w:sz w:val="24"/>
        </w:rPr>
        <w:t>— Шаблон содержит максимальный набор доводов: оставьте только те, что подтверждаются вашими документами.</w:t>
      </w:r>
    </w:p>
    <w:p>
      <w:pPr>
        <w:spacing w:after="40" w:line="276" w:lineRule="auto"/>
        <w:jc w:val="both"/>
      </w:pPr>
      <w:r>
        <w:rPr>
          <w:rFonts w:ascii="Times New Roman" w:hAnsi="Times New Roman"/>
          <w:b w:val="0"/>
          <w:i/>
          <w:sz w:val="24"/>
        </w:rPr>
        <w:t>— Цитаты закона приведены дословно в действующей редакции (сверено с КонсультантПлюс 14.10.2026). Перед подачей проверьте, не изменились ли нормы.</w:t>
      </w:r>
    </w:p>
    <w:p>
      <w:pPr>
        <w:spacing w:after="40" w:line="276" w:lineRule="auto"/>
        <w:jc w:val="both"/>
      </w:pPr>
      <w:r>
        <w:rPr>
          <w:rFonts w:ascii="Times New Roman" w:hAnsi="Times New Roman"/>
          <w:b w:val="0"/>
          <w:i/>
          <w:sz w:val="24"/>
        </w:rPr>
        <w:t>— Квадратные скобки — места для ваших данных; пояснения в скобках и неподходящие варианты удалите перед подачей.</w:t>
      </w:r>
    </w:p>
    <w:sectPr w:rsidR="00FC693F" w:rsidRPr="0006063C" w:rsidSect="00034616">
      <w:pgSz w:w="12240" w:h="15840"/>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