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юридическое лицо — правообладатель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юридическое лицо со сходным наименованием</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прекращении использования сходного фирменного наименования</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об обязании ответчика прекратить использование фирменного наименования «[наименование]» в части [обозначения] и изменить фирменное наименование [и о возмещении убытков].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Ответчик и истец осуществляют разные виды деятельности.</w:t>
      </w:r>
      <w:r>
        <w:rPr>
          <w:rFonts w:ascii="Times New Roman" w:hAnsi="Times New Roman"/>
          <w:b w:val="0"/>
          <w:i w:val="0"/>
          <w:sz w:val="24"/>
        </w:rPr>
        <w:t xml:space="preserve"> Пунктом 3 статьи 1474 ГК РФ установлено: «Не допускается использование юридическим лицом фирменного наименования, тождественного фирменному наименованию другого юридического лица или сходного с ним до степени смешения, если указанные юридические лица осуществляют аналогичную деятельность и фирменное наименование второго юридического лица было включено в единый государственный реестр юридических лиц ранее, чем фирменное наименование первого юридического лица.» Истец фактически занимается [видом деятельности], ответчик — [иным видом]; совпадение кодов ОКВЭД в ЕГРЮЛ без фактической деятельности не означает аналогичной деятельности.</w:t>
      </w:r>
    </w:p>
    <w:p>
      <w:pPr>
        <w:spacing w:after="120" w:line="276" w:lineRule="auto"/>
        <w:ind w:firstLine="709"/>
        <w:jc w:val="both"/>
      </w:pPr>
      <w:r>
        <w:rPr>
          <w:rFonts w:ascii="Times New Roman" w:hAnsi="Times New Roman"/>
          <w:b/>
          <w:i w:val="0"/>
          <w:sz w:val="24"/>
        </w:rPr>
        <w:t>Наименования не сходны до степени смешения.</w:t>
      </w:r>
      <w:r>
        <w:rPr>
          <w:rFonts w:ascii="Times New Roman" w:hAnsi="Times New Roman"/>
          <w:b w:val="0"/>
          <w:i w:val="0"/>
          <w:sz w:val="24"/>
        </w:rPr>
        <w:t xml:space="preserve"> Отличительная часть ответчика «[__]» [отличается по звучанию и смыслу / является общеупотребительным словом, не обладающим различительной способностью]; угрозы смешения в глазах контрагентов нет.</w:t>
      </w:r>
    </w:p>
    <w:p>
      <w:pPr>
        <w:spacing w:after="120" w:line="276" w:lineRule="auto"/>
        <w:ind w:firstLine="709"/>
        <w:jc w:val="both"/>
      </w:pPr>
      <w:r>
        <w:rPr>
          <w:rFonts w:ascii="Times New Roman" w:hAnsi="Times New Roman"/>
          <w:b/>
          <w:i w:val="0"/>
          <w:sz w:val="24"/>
        </w:rPr>
        <w:t>Фирменное наименование ответчика возникло раньше [или одновременно].</w:t>
      </w:r>
      <w:r>
        <w:rPr>
          <w:rFonts w:ascii="Times New Roman" w:hAnsi="Times New Roman"/>
          <w:b w:val="0"/>
          <w:i w:val="0"/>
          <w:sz w:val="24"/>
        </w:rPr>
        <w:t xml:space="preserve"> Право ответчика на фирменное наименование возникло с даты регистрации «[дата]» — [ранее истца]; приоритет имеет более раннее наименование.</w:t>
      </w:r>
    </w:p>
    <w:p>
      <w:pPr>
        <w:spacing w:after="120" w:line="276" w:lineRule="auto"/>
        <w:ind w:firstLine="709"/>
        <w:jc w:val="both"/>
      </w:pPr>
      <w:r>
        <w:rPr>
          <w:rFonts w:ascii="Times New Roman" w:hAnsi="Times New Roman"/>
          <w:b/>
          <w:i w:val="0"/>
          <w:sz w:val="24"/>
        </w:rPr>
        <w:t>Требование заявлено в необоснованно широком объёме.</w:t>
      </w:r>
      <w:r>
        <w:rPr>
          <w:rFonts w:ascii="Times New Roman" w:hAnsi="Times New Roman"/>
          <w:b w:val="0"/>
          <w:i w:val="0"/>
          <w:sz w:val="24"/>
        </w:rPr>
        <w:t xml:space="preserve"> Абзацем вторым пункта 6 статьи 1252 ГК РФ под частичным запретом понимается: «в отношении фирменного наименования запрет его использования в определенных видах деятельности» Даже при совпадении деятельности возможен лишь запрет использования в определённых видах деятельности, а не полное изменение наименования.</w:t>
      </w:r>
    </w:p>
    <w:p>
      <w:pPr>
        <w:spacing w:after="120" w:line="276" w:lineRule="auto"/>
        <w:ind w:firstLine="709"/>
        <w:jc w:val="both"/>
      </w:pPr>
      <w:r>
        <w:rPr>
          <w:rFonts w:ascii="Times New Roman" w:hAnsi="Times New Roman"/>
          <w:b/>
          <w:i w:val="0"/>
          <w:sz w:val="24"/>
        </w:rPr>
        <w:t>Убытки не доказаны.</w:t>
      </w:r>
      <w:r>
        <w:rPr>
          <w:rFonts w:ascii="Times New Roman" w:hAnsi="Times New Roman"/>
          <w:b w:val="0"/>
          <w:i w:val="0"/>
          <w:sz w:val="24"/>
        </w:rPr>
        <w:t xml:space="preserve"> Пунктом 4 статьи 1474 ГК РФ: «Юридическое лицо, нарушившее правила пункта 3 настоящей статьи, по требованию правообладателя обязано по своему выбору прекратить использование фирменного наименования, тождественного фирменному наименованию правообладателя или сходного с ним до степени смешения, в отношении видов деятельности, аналогичных видам деятельности, осуществляемым правообладателем, или изменить свое фирменное наименование, а также обязано возместить правообладателю причиненные убытки.» Истец не доказал утраты клиентов или иных потерь, вызванных наименованием ответчика.</w:t>
      </w:r>
    </w:p>
    <w:p>
      <w:pPr>
        <w:spacing w:after="120" w:line="276" w:lineRule="auto"/>
        <w:ind w:firstLine="709"/>
        <w:jc w:val="both"/>
      </w:pPr>
      <w:r>
        <w:rPr>
          <w:rFonts w:ascii="Times New Roman" w:hAnsi="Times New Roman"/>
          <w:b/>
          <w:i w:val="0"/>
          <w:sz w:val="24"/>
        </w:rPr>
        <w:t>Ответчик обязан выступать в обороте под своим наименованием.</w:t>
      </w:r>
      <w:r>
        <w:rPr>
          <w:rFonts w:ascii="Times New Roman" w:hAnsi="Times New Roman"/>
          <w:b w:val="0"/>
          <w:i w:val="0"/>
          <w:sz w:val="24"/>
        </w:rPr>
        <w:t xml:space="preserve"> Пунктом 1 статьи 1473 ГК РФ установлено: «Юридическое лицо, являющееся коммерческой организацией, выступает в гражданском обороте под своим фирменным наименованием, которое определяется в его учредительных документах и включается в единый государственный реестр юридических лиц при государственной регистрации юридического лица.» Наименование ответчика зарегистрировано налоговым органом, используется в договорах, отчётности и на сайте; его смена повлечёт для ответчика значительные расходы [перерегистрация, лицензии, переоформление договоров], несоразмерные интересу истца.</w:t>
      </w:r>
    </w:p>
    <w:p>
      <w:pPr>
        <w:spacing w:after="120" w:line="276" w:lineRule="auto"/>
        <w:ind w:firstLine="709"/>
        <w:jc w:val="both"/>
      </w:pPr>
      <w:r>
        <w:rPr>
          <w:rFonts w:ascii="Times New Roman" w:hAnsi="Times New Roman"/>
          <w:b/>
          <w:i w:val="0"/>
          <w:sz w:val="24"/>
        </w:rPr>
        <w:t>Истец злоупотребляет правом.</w:t>
      </w:r>
      <w:r>
        <w:rPr>
          <w:rFonts w:ascii="Times New Roman" w:hAnsi="Times New Roman"/>
          <w:b w:val="0"/>
          <w:i w:val="0"/>
          <w:sz w:val="24"/>
        </w:rPr>
        <w:t xml:space="preserve"> Пунктом 1 статьи 10 ГК РФ: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[Истец знал о наименовании ответчика [__] лет и не возражал; иск предъявлен после отказа ответчика выкупить у истца [товарный знак / долю].]</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Доказательства истца не подтверждают его доводов.</w:t>
      </w:r>
      <w:r>
        <w:rPr>
          <w:rFonts w:ascii="Times New Roman" w:hAnsi="Times New Roman"/>
          <w:b w:val="0"/>
          <w:i w:val="0"/>
          <w:sz w:val="24"/>
        </w:rPr>
        <w:t xml:space="preserve"> Согласно части 8 статьи 75 АПК РФ «Письменные доказательства представляются в арбитражный суд в подлиннике или в форме надлежащим образом заверенной копии. Если к рассматриваемому делу имеет отношение только часть документа, представляется заверенная выписка из него.» Распечатки с сайтов и выписки, на которые ссылается истец [представлены в незаверенных копиях / не подписаны уполномоченным лицом / противоречат друг другу: указать, какой документ и чем он плох]. В силу части 6 статьи 71 АПК РФ «Арбитражный суд не может считать доказанным факт, подтверждаемый только копией документа или иного письменного доказательства, если утрачен или не передан в суд оригинал документа, а копии этого документа, представленные лицами, участвующими в деле, не тождественны между собой и невозможно установить подлинное содержание первоисточника с помощью других доказательств.» Ответчик просит обязать истца представить подлинники для обозрения в заседании.</w:t>
      </w:r>
    </w:p>
    <w:p>
      <w:pPr>
        <w:spacing w:after="120" w:line="276" w:lineRule="auto"/>
        <w:ind w:firstLine="709"/>
        <w:jc w:val="both"/>
      </w:pPr>
      <w:r>
        <w:rPr>
          <w:rFonts w:ascii="Times New Roman" w:hAnsi="Times New Roman"/>
          <w:b/>
          <w:i w:val="0"/>
          <w:sz w:val="24"/>
        </w:rPr>
        <w:t>Претензионный порядок.</w:t>
      </w:r>
      <w:r>
        <w:rPr>
          <w:rFonts w:ascii="Times New Roman" w:hAnsi="Times New Roman"/>
          <w:b w:val="0"/>
          <w:i w:val="0"/>
          <w:sz w:val="24"/>
        </w:rPr>
        <w:t xml:space="preserve"> Абзацем третьим пункта 5.1 статьи 1252 ГК РФ: «Не требуется предъявления правообладателем претензии до предъявления им требования, указанного в подпунктах 1, 2, 4 и 5 пункта 1 и пункте 5 настоящей статьи.» [Если заявлено требование о возмещении убытков — претензия обязательна и не направлялась.]</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1252, 1473, 1474 ГК РФ, статьями 65, 70, 71, 131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прекращении использования фирменного наименования к [наименование ответчика] в полном объёме.</w:t>
      </w:r>
    </w:p>
    <w:p>
      <w:pPr>
        <w:spacing w:after="120" w:line="276" w:lineRule="auto"/>
        <w:ind w:firstLine="709"/>
        <w:jc w:val="both"/>
      </w:pPr>
      <w:r>
        <w:rPr>
          <w:rFonts w:ascii="Times New Roman" w:hAnsi="Times New Roman"/>
          <w:b w:val="0"/>
          <w:i w:val="0"/>
          <w:sz w:val="24"/>
        </w:rPr>
        <w:t>2.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Выписки из ЕГРЮЛ сторон (даты регистрации, виды деятельности).</w:t>
      </w:r>
    </w:p>
    <w:p>
      <w:pPr>
        <w:spacing w:after="40" w:line="276" w:lineRule="auto"/>
        <w:jc w:val="left"/>
      </w:pPr>
      <w:r>
        <w:rPr>
          <w:rFonts w:ascii="Times New Roman" w:hAnsi="Times New Roman"/>
          <w:b w:val="0"/>
          <w:i w:val="0"/>
          <w:sz w:val="24"/>
        </w:rPr>
        <w:t>3. Доказательства фактически осуществляемой ответчиком деятельности (договоры, отчётность).</w:t>
      </w:r>
    </w:p>
    <w:p>
      <w:pPr>
        <w:spacing w:after="40" w:line="276" w:lineRule="auto"/>
        <w:jc w:val="left"/>
      </w:pPr>
      <w:r>
        <w:rPr>
          <w:rFonts w:ascii="Times New Roman" w:hAnsi="Times New Roman"/>
          <w:b w:val="0"/>
          <w:i w:val="0"/>
          <w:sz w:val="24"/>
        </w:rPr>
        <w:t>4.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5.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Сравнивается фактически осуществляемая деятельность, а не перечень кодов ОКВЭД. Подготовьте доказательства реальных видов деятельности обеих сторон.</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