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правообладатель коммерческого обозначения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использующее сходное обозначение</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прекращении использования сходного коммерческого обозначения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об обязании ответчика прекратить использование обозначения «[__]» на вывеске, в доменном имени [адрес] и в рекламе [и о возмещении убытков].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У истца не возникло исключительного права на коммерческое обозначение.</w:t>
      </w:r>
      <w:r>
        <w:rPr>
          <w:rFonts w:ascii="Times New Roman" w:hAnsi="Times New Roman"/>
          <w:b w:val="0"/>
          <w:i w:val="0"/>
          <w:sz w:val="24"/>
        </w:rPr>
        <w:t xml:space="preserve"> Пунктом 1 статьи 1539 ГК РФ: «Правообладателю принадлежит исключительное право использования коммерческого обозначения в качестве средства индивидуализации принадлежащего ему предприятия любым не противоречащим закону способом (исключительное право на коммерческое обозначение), в том числе путем указания коммерческого обозначения на вывесках, бланках, в счетах и на иной документации, в объявлениях и рекламе, на товарах или их упаковках, в сети "Интернет", если такое обозначение обладает достаточными различительными признаками и его употребление правообладателем для индивидуализации своего предприятия является известным в пределах определенной территории.» Обозначение истца [не обладает различительной способностью — общеупотребительное слово / использовалось менее года / известно лишь в пределах одного здания], поэтому не стало известным в пределах территории как обозначение именно его предприятия.</w:t>
      </w:r>
    </w:p>
    <w:p>
      <w:pPr>
        <w:spacing w:after="120" w:line="276" w:lineRule="auto"/>
        <w:ind w:firstLine="709"/>
        <w:jc w:val="both"/>
      </w:pPr>
      <w:r>
        <w:rPr>
          <w:rFonts w:ascii="Times New Roman" w:hAnsi="Times New Roman"/>
          <w:b/>
          <w:i w:val="0"/>
          <w:sz w:val="24"/>
        </w:rPr>
        <w:t>Обозначение ответчика не способно ввести в заблуждение.</w:t>
      </w:r>
      <w:r>
        <w:rPr>
          <w:rFonts w:ascii="Times New Roman" w:hAnsi="Times New Roman"/>
          <w:b w:val="0"/>
          <w:i w:val="0"/>
          <w:sz w:val="24"/>
        </w:rPr>
        <w:t xml:space="preserve"> Пунктом 2 статьи 1539 ГК РФ: «Не допускается использование коммерческого обозначения, способного ввести в заблуждение относительно принадлежности предприятия определенному лицу, в частности обозначения, сходного до степени смешения с фирменным наименованием, товарным знаком или защищенным исключительным правом коммерческим обозначением, принадлежащим другому лицу, у которого соответствующее исключительное право возникло ранее.» Предприятия сторон [расположены в разных городах / работают в разных сферах]; обозначения [различаются графически и по звучанию].</w:t>
      </w:r>
    </w:p>
    <w:p>
      <w:pPr>
        <w:spacing w:after="120" w:line="276" w:lineRule="auto"/>
        <w:ind w:firstLine="709"/>
        <w:jc w:val="both"/>
      </w:pPr>
      <w:r>
        <w:rPr>
          <w:rFonts w:ascii="Times New Roman" w:hAnsi="Times New Roman"/>
          <w:b/>
          <w:i w:val="0"/>
          <w:sz w:val="24"/>
        </w:rPr>
        <w:t>Требование подлежит ограничению территорией и видом деятельности.</w:t>
      </w:r>
      <w:r>
        <w:rPr>
          <w:rFonts w:ascii="Times New Roman" w:hAnsi="Times New Roman"/>
          <w:b w:val="0"/>
          <w:i w:val="0"/>
          <w:sz w:val="24"/>
        </w:rPr>
        <w:t xml:space="preserve"> Абзацем третьим пункта 6 статьи 1252 ГК РФ: «в отношении коммерческого обозначения запрет его использования в пределах определенной территории и (или) в определенных видах деятельности.» Полный запрет использования обозначения ответчиком несоразмерен.</w:t>
      </w:r>
    </w:p>
    <w:p>
      <w:pPr>
        <w:spacing w:after="120" w:line="276" w:lineRule="auto"/>
        <w:ind w:firstLine="709"/>
        <w:jc w:val="both"/>
      </w:pPr>
      <w:r>
        <w:rPr>
          <w:rFonts w:ascii="Times New Roman" w:hAnsi="Times New Roman"/>
          <w:b/>
          <w:i w:val="0"/>
          <w:sz w:val="24"/>
        </w:rPr>
        <w:t>Обозначение используется ответчиком на основании собственного права.</w:t>
      </w:r>
      <w:r>
        <w:rPr>
          <w:rFonts w:ascii="Times New Roman" w:hAnsi="Times New Roman"/>
          <w:b w:val="0"/>
          <w:i w:val="0"/>
          <w:sz w:val="24"/>
        </w:rPr>
        <w:t xml:space="preserve"> [Ответчику принадлежит товарный знак № [__] / фирменное наименование с более ранней датой приоритета], и по правилу пункта 6 статьи 1252 ГК РФ преимущество имеет более раннее средство индивидуализации.</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3 статьи 1539 ГК РФ: «Лицо, нарушившее правила пункта 2 настоящей статьи, обязано по требованию правообладателя прекратить использование коммерческого обозначения и возместить правообладателю причиненные убытки.» Истец не доказал потерь, вызванных действиями ответчика.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Претензионный порядок по денежному требованию.</w:t>
      </w:r>
      <w:r>
        <w:rPr>
          <w:rFonts w:ascii="Times New Roman" w:hAnsi="Times New Roman"/>
          <w:b w:val="0"/>
          <w:i w:val="0"/>
          <w:sz w:val="24"/>
        </w:rPr>
        <w:t xml:space="preserve"> Абзацем третьим пункта 5.1 статьи 1252 ГК РФ: «Не требуется предъявления правообладателем претензии до предъявления им требования, указанного в подпунктах 1, 2, 4 и 5 пункта 1 и пункте 5 настоящей статьи.» [Претензия о возмещении убытков не направлялась.]</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1252, 1539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прекращении использования обозначения и возмещении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 собственном праве ответчика (свидетельство на товарный знак, выписка ЕГРЮЛ).</w:t>
      </w:r>
    </w:p>
    <w:p>
      <w:pPr>
        <w:spacing w:after="40" w:line="276" w:lineRule="auto"/>
        <w:jc w:val="left"/>
      </w:pPr>
      <w:r>
        <w:rPr>
          <w:rFonts w:ascii="Times New Roman" w:hAnsi="Times New Roman"/>
          <w:b w:val="0"/>
          <w:i w:val="0"/>
          <w:sz w:val="24"/>
        </w:rPr>
        <w:t>3. Доказательства различия обозначений и территорий деятельности.</w:t>
      </w:r>
    </w:p>
    <w:p>
      <w:pPr>
        <w:spacing w:after="40" w:line="276" w:lineRule="auto"/>
        <w:jc w:val="left"/>
      </w:pPr>
      <w:r>
        <w:rPr>
          <w:rFonts w:ascii="Times New Roman" w:hAnsi="Times New Roman"/>
          <w:b w:val="0"/>
          <w:i w:val="0"/>
          <w:sz w:val="24"/>
        </w:rPr>
        <w:t>4. Сведения о недолгом и ограниченном использовании обозначения истцом.</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Коммерческое обозначение охраняется, только если оно известно в пределах определённой территории как обозначение конкретного предприятия; бремя доказать известность лежит на истце.</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