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участник (участники) общества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участник общества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общество</w:t>
      </w:r>
      <w:r>
        <w:rPr>
          <w:rFonts w:ascii="Times New Roman" w:hAnsi="Times New Roman"/>
          <w:b w:val="0"/>
          <w:i w:val="0"/>
          <w:sz w:val="24"/>
        </w:rPr>
        <w:br/>
        <w:t>[наименование ООО]</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исключении участника из общества с ограниченной ответственностью</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об исключении ответчика, владеющего долей [__] % в уставном капитале [наименование ООО], из числа участников общества.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Грубого нарушения обязанностей участника нет.</w:t>
      </w:r>
      <w:r>
        <w:rPr>
          <w:rFonts w:ascii="Times New Roman" w:hAnsi="Times New Roman"/>
          <w:b w:val="0"/>
          <w:i w:val="0"/>
          <w:sz w:val="24"/>
        </w:rPr>
        <w:t xml:space="preserve"> Статьёй 10 Федерального закона от 08.02.1998 № 14-ФЗ «Об обществах с ограниченной ответственностью» (далее — Закон об ООО) установлено: «Участники общества, доли которых в совокупности составляют не менее чем десять процентов уставного капитала общества, вправе требовать в судебном порядке исключения из общества участника, который грубо нарушает свои обязанности либо своими действиями (бездействием) делает невозможной деятельность общества или существенно ее затрудняет.» Абзацем четвёртым пункта 1 статьи 67 ГК РФ участник вправе требовать исключения другого участника: «требовать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вред товариществу или обществу либо иным образом существенно затрудняет его деятельность и достижение целей, ради которых оно создавалось, в том числе грубо нарушая свои обязанности, предусмотренные законом или учредительными документами товарищества или общества. Отказ от этого права или его ограничение ничтожны.» Истец ссылается на [неявку на собрания / несогласие с решениями / конкурирующую деятельность], но [ответчик голосовал против решений, которые считал вредными для общества, — это реализация права, а не нарушение; неявка не повлияла на кворум; обязанности не участвовать в конкурирующих компаниях устав не содержит].</w:t>
      </w:r>
    </w:p>
    <w:p>
      <w:pPr>
        <w:spacing w:after="120" w:line="276" w:lineRule="auto"/>
        <w:ind w:firstLine="709"/>
        <w:jc w:val="both"/>
      </w:pPr>
      <w:r>
        <w:rPr>
          <w:rFonts w:ascii="Times New Roman" w:hAnsi="Times New Roman"/>
          <w:b/>
          <w:i w:val="0"/>
          <w:sz w:val="24"/>
        </w:rPr>
        <w:t>Деятельность общества не стала невозможной из-за действий ответчика.</w:t>
      </w:r>
      <w:r>
        <w:rPr>
          <w:rFonts w:ascii="Times New Roman" w:hAnsi="Times New Roman"/>
          <w:b w:val="0"/>
          <w:i w:val="0"/>
          <w:sz w:val="24"/>
        </w:rPr>
        <w:t xml:space="preserve"> Общество [продолжает работу, заключает договоры, сдаёт отчётность]; трудности вызваны [корпоративным конфликтом, в котором обе стороны занимают свои позиции / действиями самого истца как директора].</w:t>
      </w:r>
    </w:p>
    <w:p>
      <w:pPr>
        <w:spacing w:after="120" w:line="276" w:lineRule="auto"/>
        <w:ind w:firstLine="709"/>
        <w:jc w:val="both"/>
      </w:pPr>
      <w:r>
        <w:rPr>
          <w:rFonts w:ascii="Times New Roman" w:hAnsi="Times New Roman"/>
          <w:b/>
          <w:i w:val="0"/>
          <w:sz w:val="24"/>
        </w:rPr>
        <w:t>Исключение — крайняя мера, неприменимая при равных долях и взаимном конфликте.</w:t>
      </w:r>
      <w:r>
        <w:rPr>
          <w:rFonts w:ascii="Times New Roman" w:hAnsi="Times New Roman"/>
          <w:b w:val="0"/>
          <w:i w:val="0"/>
          <w:sz w:val="24"/>
        </w:rPr>
        <w:t xml:space="preserve"> Участники владеют [равными долями / сопоставимыми долями]; конфликт носит взаимный характер, и исключение одного из участников означало бы разрешение конфликта в пользу другой стороны без вины ответчика. Для выхода из тупика существуют иные способы — выход из общества, продажа доли.</w:t>
      </w:r>
    </w:p>
    <w:p>
      <w:pPr>
        <w:spacing w:after="120" w:line="276" w:lineRule="auto"/>
        <w:ind w:firstLine="709"/>
        <w:jc w:val="both"/>
      </w:pPr>
      <w:r>
        <w:rPr>
          <w:rFonts w:ascii="Times New Roman" w:hAnsi="Times New Roman"/>
          <w:b/>
          <w:i w:val="0"/>
          <w:sz w:val="24"/>
        </w:rPr>
        <w:t>Ответчик добросовестно исполнял обязанности участника.</w:t>
      </w:r>
      <w:r>
        <w:rPr>
          <w:rFonts w:ascii="Times New Roman" w:hAnsi="Times New Roman"/>
          <w:b w:val="0"/>
          <w:i w:val="0"/>
          <w:sz w:val="24"/>
        </w:rPr>
        <w:t xml:space="preserve"> Пунктом 4 статьи 65.2 ГК РФ участник обязан [участвовать в образовании имущества, не разглашать конфиденциальную информацию, участвовать в принятии решений, без которых общество не может продолжать деятельность]; все эти обязанности ответчиком исполнены — [доля оплачена полностью, документы о голосованиях].</w:t>
      </w:r>
    </w:p>
    <w:p>
      <w:pPr>
        <w:spacing w:after="120" w:line="276" w:lineRule="auto"/>
        <w:ind w:firstLine="709"/>
        <w:jc w:val="both"/>
      </w:pPr>
      <w:r>
        <w:rPr>
          <w:rFonts w:ascii="Times New Roman" w:hAnsi="Times New Roman"/>
          <w:b/>
          <w:i w:val="0"/>
          <w:sz w:val="24"/>
        </w:rPr>
        <w:t>Иск — инструмент корпоративного конфликта.</w:t>
      </w:r>
      <w:r>
        <w:rPr>
          <w:rFonts w:ascii="Times New Roman" w:hAnsi="Times New Roman"/>
          <w:b w:val="0"/>
          <w:i w:val="0"/>
          <w:sz w:val="24"/>
        </w:rPr>
        <w:t xml:space="preserve"> Пунктом 1 статьи 10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[Истец предъявил иск после отказа других участников выкупить его долю по завышенной цене / параллельно с другими исками, цель которых — давление на общество и парализация его деятельности.]</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Истец не уведомил других участников о намерении обратиться в суд.</w:t>
      </w:r>
      <w:r>
        <w:rPr>
          <w:rFonts w:ascii="Times New Roman" w:hAnsi="Times New Roman"/>
          <w:b w:val="0"/>
          <w:i w:val="0"/>
          <w:sz w:val="24"/>
        </w:rPr>
        <w:t xml:space="preserve"> Пунктом 2 статьи 65.2 ГК РФ установлено: «Участник корпорации или корпорация, требующие возмещения причиненных корпорации убытков (статья 53.1)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законами о корпорациях и учредительным документом корпорации.» Уведомление о намерении обратиться с иском [не размещалось в ЕФРСФДЮЛ / не направлялось участникам], что лишило их возможности присоединиться к иску и представить позицию.</w:t>
      </w:r>
    </w:p>
    <w:p>
      <w:pPr>
        <w:spacing w:after="120" w:line="276" w:lineRule="auto"/>
        <w:ind w:firstLine="709"/>
        <w:jc w:val="both"/>
      </w:pPr>
      <w:r>
        <w:rPr>
          <w:rFonts w:ascii="Times New Roman" w:hAnsi="Times New Roman"/>
          <w:b/>
          <w:i w:val="0"/>
          <w:sz w:val="24"/>
        </w:rPr>
        <w:t>[Если иск подан не по месту нахождения общества:] Нарушена исключительная подсудность корпоративного спора.</w:t>
      </w:r>
      <w:r>
        <w:rPr>
          <w:rFonts w:ascii="Times New Roman" w:hAnsi="Times New Roman"/>
          <w:b w:val="0"/>
          <w:i w:val="0"/>
          <w:sz w:val="24"/>
        </w:rPr>
        <w:t xml:space="preserve"> Частью 4.1 статьи 38 АПК РФ установлено: «Исковое заявление или заявление по спору, указанному в статье 225.1 настоящего Кодекса, подается в арбитражный суд по адресу юридического лица, указанного в статье 225.1 настоящего Кодекса.» Общество находится по адресу: [адрес из ЕГРЮЛ], что относится к компетенции Арбитражного суда [наименование]. Пунктом 3 части 2 статьи 39 АПК РФ дело подлежит передаче, если «при рассмотрении дела в суде выяснилось, что оно было принято к производству с нарушением правил подсудности»</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65.2, 67 ГК РФ, статьёй 10 Закона об ООО, статьями 38,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об исключении из общества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об оплате доли, протоколы собраний и бюллетени голосования ответчика.</w:t>
      </w:r>
    </w:p>
    <w:p>
      <w:pPr>
        <w:spacing w:after="40" w:line="276" w:lineRule="auto"/>
        <w:jc w:val="left"/>
      </w:pPr>
      <w:r>
        <w:rPr>
          <w:rFonts w:ascii="Times New Roman" w:hAnsi="Times New Roman"/>
          <w:b w:val="0"/>
          <w:i w:val="0"/>
          <w:sz w:val="24"/>
        </w:rPr>
        <w:t>3. Документы о текущей деятельности общества (договоры, отчётность).</w:t>
      </w:r>
    </w:p>
    <w:p>
      <w:pPr>
        <w:spacing w:after="40" w:line="276" w:lineRule="auto"/>
        <w:jc w:val="left"/>
      </w:pPr>
      <w:r>
        <w:rPr>
          <w:rFonts w:ascii="Times New Roman" w:hAnsi="Times New Roman"/>
          <w:b w:val="0"/>
          <w:i w:val="0"/>
          <w:sz w:val="24"/>
        </w:rPr>
        <w:t>4. Документы о действиях истца, повлиявших на конфликт.</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Исключение участника возможно только за грубые нарушения, повлекшие невозможность или существенное затруднение деятельности общества. Голосование «против» и обычный корпоративный конфликт таким нарушением не являются.</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