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заявляющее права на имущество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взыскатель (должник)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судебный пристав-исполнитель</w:t>
      </w:r>
      <w:r>
        <w:rPr>
          <w:rFonts w:ascii="Times New Roman" w:hAnsi="Times New Roman"/>
          <w:b w:val="0"/>
          <w:i w:val="0"/>
          <w:sz w:val="24"/>
        </w:rPr>
        <w:br/>
        <w:t>[наименование ОСП]</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освобождении имущества от ареста (исключении из описи)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освобождении от ареста (исключении из описи) имущества [перечень], арестованного постановлением судебного пристава-исполнителя от «[дата]» в рамках исполнительного производства № [__] по долгу [наименование должника].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Истец не доказал принадлежность ему арестованного имущества.</w:t>
      </w:r>
      <w:r>
        <w:rPr>
          <w:rFonts w:ascii="Times New Roman" w:hAnsi="Times New Roman"/>
          <w:b w:val="0"/>
          <w:i w:val="0"/>
          <w:sz w:val="24"/>
        </w:rPr>
        <w:t xml:space="preserve"> Частью 1 статьи 119 Федерального закона от 02.10.2007 № 229-ФЗ «Об исполнительном производстве» установлено: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 Право на иск имеет лицо, которое докажет своё право на имущество. Представленные истцом [договор купли-продажи / аренды / хранения] [не позволяют идентифицировать имущество / составлены после возбуждения исполнительного производства / не подтверждены платежами и бухгалтерским учётом].</w:t>
      </w:r>
    </w:p>
    <w:p>
      <w:pPr>
        <w:spacing w:after="120" w:line="276" w:lineRule="auto"/>
        <w:ind w:firstLine="709"/>
        <w:jc w:val="both"/>
      </w:pPr>
      <w:r>
        <w:rPr>
          <w:rFonts w:ascii="Times New Roman" w:hAnsi="Times New Roman"/>
          <w:b/>
          <w:i w:val="0"/>
          <w:sz w:val="24"/>
        </w:rPr>
        <w:t>Имущество находилось во владении должника.</w:t>
      </w:r>
      <w:r>
        <w:rPr>
          <w:rFonts w:ascii="Times New Roman" w:hAnsi="Times New Roman"/>
          <w:b w:val="0"/>
          <w:i w:val="0"/>
          <w:sz w:val="24"/>
        </w:rPr>
        <w:t xml:space="preserve"> Арест произведён по месту нахождения должника, имущество использовалось им в хозяйственной деятельности, учитывалось на его балансе; документы истца о праве собственности противоречат этим обстоятельствам.</w:t>
      </w:r>
    </w:p>
    <w:p>
      <w:pPr>
        <w:spacing w:after="120" w:line="276" w:lineRule="auto"/>
        <w:ind w:firstLine="709"/>
        <w:jc w:val="both"/>
      </w:pPr>
      <w:r>
        <w:rPr>
          <w:rFonts w:ascii="Times New Roman" w:hAnsi="Times New Roman"/>
          <w:b/>
          <w:i w:val="0"/>
          <w:sz w:val="24"/>
        </w:rPr>
        <w:t>Сделка, на которой основан иск, направлена на вывод имущества от обращения взыскания.</w:t>
      </w:r>
      <w:r>
        <w:rPr>
          <w:rFonts w:ascii="Times New Roman" w:hAnsi="Times New Roman"/>
          <w:b w:val="0"/>
          <w:i w:val="0"/>
          <w:sz w:val="24"/>
        </w:rPr>
        <w:t xml:space="preserve"> Договор между истцом и должником [заключён между аффилированными лицами / по заниженной цене / без реального исполнения] и является мнимым (пункт 1 статьи 170 ГК РФ: «Мнимая сделка, то есть сделка, совершенная лишь для вида, без намерения создать соответствующие ей правовые последствия, ничтожна.»).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w:t>
      </w:r>
    </w:p>
    <w:p>
      <w:pPr>
        <w:spacing w:after="120" w:line="276" w:lineRule="auto"/>
        <w:ind w:firstLine="709"/>
        <w:jc w:val="both"/>
      </w:pPr>
      <w:r>
        <w:rPr>
          <w:rFonts w:ascii="Times New Roman" w:hAnsi="Times New Roman"/>
          <w:b/>
          <w:i w:val="0"/>
          <w:sz w:val="24"/>
        </w:rPr>
        <w:t>Право владельца на защиту не освобождает имущество должника от ответственности по его долгам.</w:t>
      </w:r>
      <w:r>
        <w:rPr>
          <w:rFonts w:ascii="Times New Roman" w:hAnsi="Times New Roman"/>
          <w:b w:val="0"/>
          <w:i w:val="0"/>
          <w:sz w:val="24"/>
        </w:rPr>
        <w:t xml:space="preserve"> Статьёй 305 ГК РФ: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Истец не является ни собственником, ни законным владельцем имущества по основанию, предусмотренному законом или договором.</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Иск подсуден по месту наложения ареста.</w:t>
      </w:r>
      <w:r>
        <w:rPr>
          <w:rFonts w:ascii="Times New Roman" w:hAnsi="Times New Roman"/>
          <w:b w:val="0"/>
          <w:i w:val="0"/>
          <w:sz w:val="24"/>
        </w:rPr>
        <w:t xml:space="preserve"> Иски об освобождении имущества от ареста рассматриваются по месту нахождения имущества [для недвижимости — исключительная подсудность по части 1 статьи 38 АПК РФ: «Иски о правах на недвижимое имущество предъявляются в арбитражный суд по месту нахождения этого имущества.»].</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170, 305 ГК РФ, статьёй 119 Федерального закона «Об исполнительном производстве»,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об освобождении имущества от ареста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Постановление о возбуждении исполнительного производства, акт о наложении ареста (описи).</w:t>
      </w:r>
    </w:p>
    <w:p>
      <w:pPr>
        <w:spacing w:after="40" w:line="276" w:lineRule="auto"/>
        <w:jc w:val="left"/>
      </w:pPr>
      <w:r>
        <w:rPr>
          <w:rFonts w:ascii="Times New Roman" w:hAnsi="Times New Roman"/>
          <w:b w:val="0"/>
          <w:i w:val="0"/>
          <w:sz w:val="24"/>
        </w:rPr>
        <w:t>3. Документы о нахождении имущества во владении и на балансе должника.</w:t>
      </w:r>
    </w:p>
    <w:p>
      <w:pPr>
        <w:spacing w:after="40" w:line="276" w:lineRule="auto"/>
        <w:jc w:val="left"/>
      </w:pPr>
      <w:r>
        <w:rPr>
          <w:rFonts w:ascii="Times New Roman" w:hAnsi="Times New Roman"/>
          <w:b w:val="0"/>
          <w:i w:val="0"/>
          <w:sz w:val="24"/>
        </w:rPr>
        <w:t>4. Сведения об аффилированности истца и должника, о дате и условиях сделки.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Документы, составленные после возбуждения исполнительного производства, суды оценивают критически. Сопоставьте даты сделки, ареста и долга.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