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организация</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автор публикации (владелец сайта, площадка отзывов)</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об удалении сведений из сети «Интернет» и их опровержении</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об обязании удалить отзывы (публикации) об истце на [сайте / агрегаторе отзывов / в социальной сети] по адресам [ссылки] и опубликовать опровержение.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Отзыв потребителя — выражение его мнения о качестве услуг.</w:t>
      </w:r>
      <w:r>
        <w:rPr>
          <w:rFonts w:ascii="Times New Roman" w:hAnsi="Times New Roman"/>
          <w:b w:val="0"/>
          <w:i w:val="0"/>
          <w:sz w:val="24"/>
        </w:rPr>
        <w:t xml:space="preserve"> Абзацем третьим пункта 9 постановления Пленума ВС РФ № 3 разъяснено: «По смыслу статьи 29 Конституции Российской Федерации, статьи 19 Международного пакта о гражданских и политических правах от 16 декабря 1966 года, гарантирующих каждому право на свободу мысли и слова, а также на свободу массовой информации, при рассмотрении дел о защите чести, достоинства и деловой репутации судам следует различать имеющие место утверждения о фактах, соответствие действительности которых можно проверить, и оценочные суждения, мнения, убеждения, которые не являются предметом судебной защиты в порядке статьи 152 Гражданского кодекса Российской Федерации, поскольку, являясь выражением субъективного мнения и взглядов ответчика, не могут быть проверены на предмет соответствия их действительности.» Фразы «[цитата]» выражены в форме мнения («на мой взгляд», «я считаю»), не поддаются проверке на соответствие действительности. Ответчик ходатайствует о назначении лингвистической экспертизы (часть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pPr>
        <w:spacing w:after="120" w:line="276" w:lineRule="auto"/>
        <w:ind w:firstLine="709"/>
        <w:jc w:val="both"/>
      </w:pPr>
      <w:r>
        <w:rPr>
          <w:rFonts w:ascii="Times New Roman" w:hAnsi="Times New Roman"/>
          <w:b/>
          <w:i w:val="0"/>
          <w:sz w:val="24"/>
        </w:rPr>
        <w:t>Сведения соответствуют действительности.</w:t>
      </w:r>
      <w:r>
        <w:rPr>
          <w:rFonts w:ascii="Times New Roman" w:hAnsi="Times New Roman"/>
          <w:b w:val="0"/>
          <w:i w:val="0"/>
          <w:sz w:val="24"/>
        </w:rPr>
        <w:t xml:space="preserve"> Пунктом 1 статьи 152 ГК РФ бремя доказать соответствие действительности лежит на ответчике — и ответчик его несёт: [чек, договор, переписка с истцом, фото товара, ответ истца на претензию] подтверждают изложенные факты. Абзацем четвёртым пункта 7 постановления Пленума ВС РФ № 3: «Не соответствующими действительности сведениями являются утверждения о фактах или событиях, которые не имели места в реальности во время, к которому относятся оспариваемые сведения. Не могут рассматриваться как не соответствующие действительности сведения, содержащиеся в судебных решениях и приговорах, постановлениях органов предварительного следствия и других процессуальных или иных официальных документах, для обжалования и оспаривания которых предусмотрен иной установленный законами судебный порядок (например, не могут быть опровергнуты в порядке статьи 152 Гражданского кодекса Российской Федерации сведения, изложенные в приказе об увольнении, поскольку такой приказ может быть оспорен только в порядке, предусмотренном Трудовым кодексом Российской Федерации).»</w:t>
      </w:r>
    </w:p>
    <w:p>
      <w:pPr>
        <w:spacing w:after="120" w:line="276" w:lineRule="auto"/>
        <w:ind w:firstLine="709"/>
        <w:jc w:val="both"/>
      </w:pPr>
      <w:r>
        <w:rPr>
          <w:rFonts w:ascii="Times New Roman" w:hAnsi="Times New Roman"/>
          <w:b/>
          <w:i w:val="0"/>
          <w:sz w:val="24"/>
        </w:rPr>
        <w:t>Ответчик — не надлежащий ответчик.</w:t>
      </w:r>
      <w:r>
        <w:rPr>
          <w:rFonts w:ascii="Times New Roman" w:hAnsi="Times New Roman"/>
          <w:b w:val="0"/>
          <w:i w:val="0"/>
          <w:sz w:val="24"/>
        </w:rPr>
        <w:t xml:space="preserve"> Пунктом 5 постановления Пленума ВС РФ № 3: «Надлежащими ответчиками по искам о защите чести, достоинства и деловой репутации являются авторы не соответствующих действительности порочащих сведений, а также лица, распространившие эти сведения.» [Владелец площадки не является автором отзыва; автор указан в профиле / площадка — информационный посредник, не изменявший содержание и удаливший материал по первому требованию.]</w:t>
      </w:r>
    </w:p>
    <w:p>
      <w:pPr>
        <w:spacing w:after="120" w:line="276" w:lineRule="auto"/>
        <w:ind w:firstLine="709"/>
        <w:jc w:val="both"/>
      </w:pPr>
      <w:r>
        <w:rPr>
          <w:rFonts w:ascii="Times New Roman" w:hAnsi="Times New Roman"/>
          <w:b/>
          <w:i w:val="0"/>
          <w:sz w:val="24"/>
        </w:rPr>
        <w:t>Требование об удалении всех отзывов несоразмерно.</w:t>
      </w:r>
      <w:r>
        <w:rPr>
          <w:rFonts w:ascii="Times New Roman" w:hAnsi="Times New Roman"/>
          <w:b w:val="0"/>
          <w:i w:val="0"/>
          <w:sz w:val="24"/>
        </w:rPr>
        <w:t xml:space="preserve"> Пунктом 5 статьи 152 ГК РФ: «Если сведения, порочащие честь, достоинство или деловую репутацию гражданина, оказались после их распространения доступными в сети "Интернет", гражданин вправе требовать удаления соответствующей информации, а также опровержения указанных сведений способом, обеспечивающим доведение опровержения до пользователей сети "Интернет".» Удалению подлежит только информация, признанная судом не соответствующей действительности и порочащей, а не все негативные отзывы об истце; требование удалить [весь раздел / все отзывы за период] направлено на подавление критики потребителей.</w:t>
      </w:r>
    </w:p>
    <w:p>
      <w:pPr>
        <w:spacing w:after="120" w:line="276" w:lineRule="auto"/>
        <w:ind w:firstLine="709"/>
        <w:jc w:val="both"/>
      </w:pPr>
      <w:r>
        <w:rPr>
          <w:rFonts w:ascii="Times New Roman" w:hAnsi="Times New Roman"/>
          <w:b/>
          <w:i w:val="0"/>
          <w:sz w:val="24"/>
        </w:rPr>
        <w:t>Иск — давление на потребителя.</w:t>
      </w:r>
      <w:r>
        <w:rPr>
          <w:rFonts w:ascii="Times New Roman" w:hAnsi="Times New Roman"/>
          <w:b w:val="0"/>
          <w:i w:val="0"/>
          <w:sz w:val="24"/>
        </w:rPr>
        <w:t xml:space="preserve"> Пунктом 1 статьи 10 ГК РФ: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[Иск предъявлен после отказа истца удовлетворить претензию автора отзыва.]</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Подведомственность.</w:t>
      </w:r>
      <w:r>
        <w:rPr>
          <w:rFonts w:ascii="Times New Roman" w:hAnsi="Times New Roman"/>
          <w:b w:val="0"/>
          <w:i w:val="0"/>
          <w:sz w:val="24"/>
        </w:rPr>
        <w:t xml:space="preserve"> [Если ответчик — гражданин, не являющийся предпринимателем, а отзыв касается потребительских отношений, спор не носит экономического характера.] Частью 2 статьи 27 АПК РФ: «Арбитражные суды разрешают экономические споры и рассматривают иные дела с участием организаций, являющихся юридическими лицами, граждан, осуществляющих предпринимательскую деятельность без образования юридического лица и имеющих статус индивидуального предпринимателя, приобретенный в установленном законом порядке (далее - индивидуальные предприниматели), а в случаях, предусмотренных настоящим Кодексом и иными федеральными законами, с участием Российской Федерации, субъектов Российской Федерации, муниципальных образований, государственных органов, органов местного самоуправления, иных органов, должностных лиц, образований, не имеющих статуса юридического лица, и граждан, не имеющих статуса индивидуального предпринимателя (далее - организации и граждане).» Пунктом 7 части 6 статьи 27 АПК РФ к компетенции арбитражных судов отнесены дела о защите деловой репутации в сфере предпринимательской деятельности; ответчик просит проверить, относится ли спор к ней.</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152 ГК РФ, статьями 27, 65, 70, 71, 82,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об удалении сведений и опровержении к [наименование ответчика] в полном объёме.</w:t>
      </w:r>
    </w:p>
    <w:p>
      <w:pPr>
        <w:spacing w:after="120" w:line="276" w:lineRule="auto"/>
        <w:ind w:firstLine="709"/>
        <w:jc w:val="both"/>
      </w:pPr>
      <w:r>
        <w:rPr>
          <w:rFonts w:ascii="Times New Roman" w:hAnsi="Times New Roman"/>
          <w:b w:val="0"/>
          <w:i w:val="0"/>
          <w:sz w:val="24"/>
        </w:rPr>
        <w:t>2. Назначить судебную лингвистическую экспертизу оспариваемых публикаций.</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Документы, подтверждающие опыт взаимодействия автора отзыва с истцом (чек, договор, переписка).</w:t>
      </w:r>
    </w:p>
    <w:p>
      <w:pPr>
        <w:spacing w:after="40" w:line="276" w:lineRule="auto"/>
        <w:jc w:val="left"/>
      </w:pPr>
      <w:r>
        <w:rPr>
          <w:rFonts w:ascii="Times New Roman" w:hAnsi="Times New Roman"/>
          <w:b w:val="0"/>
          <w:i w:val="0"/>
          <w:sz w:val="24"/>
        </w:rPr>
        <w:t>3. Правила площадки, сведения об авторе отзыва, о действиях площадки по жалобе истца.</w:t>
      </w:r>
    </w:p>
    <w:p>
      <w:pPr>
        <w:spacing w:after="40" w:line="276" w:lineRule="auto"/>
        <w:jc w:val="left"/>
      </w:pPr>
      <w:r>
        <w:rPr>
          <w:rFonts w:ascii="Times New Roman" w:hAnsi="Times New Roman"/>
          <w:b w:val="0"/>
          <w:i w:val="0"/>
          <w:sz w:val="24"/>
        </w:rPr>
        <w:t>4.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5.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Отзыв о товаре или услуге, основанный на личном опыте и выраженный как мнение, по общему правилу не является утверждением о фактах и не подлежит опровержению.</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