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(законный владелец)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которому вменяется нарушение</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устранении препятствий в пользовании имуществом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обязании устранить препятствия в пользовании [земельным участком, зданием, помещением] по адресу: [адрес] путём [демонтажа ограждения, обеспечения проезда, освобождения части участка] и о судебной неустойке.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Нарушения права истца нет.</w:t>
      </w:r>
      <w:r>
        <w:rPr>
          <w:rFonts w:ascii="Times New Roman" w:hAnsi="Times New Roman"/>
          <w:b w:val="0"/>
          <w:i w:val="0"/>
          <w:sz w:val="24"/>
        </w:rPr>
        <w:t xml:space="preserve"> Статьёй 304 ГК РФ установлено: «Собственник может требовать устранения всяких нарушений его права, хотя бы эти нарушения и не были соединены с лишением владения.» Истец должен доказать, что действия ответчика реально нарушают его право. [Ограждение возведено в границах участка ответчика по данным ЕГРН / проезд обеспечен по иному маршруту / оборудование размещено на основании договора].</w:t>
      </w:r>
    </w:p>
    <w:p>
      <w:pPr>
        <w:spacing w:after="120" w:line="276" w:lineRule="auto"/>
        <w:ind w:firstLine="709"/>
        <w:jc w:val="both"/>
      </w:pPr>
      <w:r>
        <w:rPr>
          <w:rFonts w:ascii="Times New Roman" w:hAnsi="Times New Roman"/>
          <w:b/>
          <w:i w:val="0"/>
          <w:sz w:val="24"/>
        </w:rPr>
        <w:t>Ответчик действует в пределах своих прав.</w:t>
      </w:r>
      <w:r>
        <w:rPr>
          <w:rFonts w:ascii="Times New Roman" w:hAnsi="Times New Roman"/>
          <w:b w:val="0"/>
          <w:i w:val="0"/>
          <w:sz w:val="24"/>
        </w:rPr>
        <w:t xml:space="preserve"> [Ответчику принадлежит смежный участок (право аренды); размещение объекта согласовано органом местного самоуправления / предусмотрено договором с истцом / является сервитутом, установленным в пользу ответчика]. Законное осуществление права не может считаться нарушением.</w:t>
      </w:r>
    </w:p>
    <w:p>
      <w:pPr>
        <w:spacing w:after="120" w:line="276" w:lineRule="auto"/>
        <w:ind w:firstLine="709"/>
        <w:jc w:val="both"/>
      </w:pPr>
      <w:r>
        <w:rPr>
          <w:rFonts w:ascii="Times New Roman" w:hAnsi="Times New Roman"/>
          <w:b/>
          <w:i w:val="0"/>
          <w:sz w:val="24"/>
        </w:rPr>
        <w:t>Истец злоупотребляет правом.</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[Объект существует более [__] лет, истец приобрёл помещение, зная о нём; требование о демонтаже несоразмерно — истцу достаточно [иного способа защиты].]</w:t>
      </w:r>
    </w:p>
    <w:p>
      <w:pPr>
        <w:spacing w:after="120" w:line="276" w:lineRule="auto"/>
        <w:ind w:firstLine="709"/>
        <w:jc w:val="both"/>
      </w:pPr>
      <w:r>
        <w:rPr>
          <w:rFonts w:ascii="Times New Roman" w:hAnsi="Times New Roman"/>
          <w:b/>
          <w:i w:val="0"/>
          <w:sz w:val="24"/>
        </w:rPr>
        <w:t>Требование неисполнимо в заявленной форме.</w:t>
      </w:r>
      <w:r>
        <w:rPr>
          <w:rFonts w:ascii="Times New Roman" w:hAnsi="Times New Roman"/>
          <w:b w:val="0"/>
          <w:i w:val="0"/>
          <w:sz w:val="24"/>
        </w:rPr>
        <w:t xml:space="preserve"> Истец не указал конкретные действия, координаты и параметры объекта, подлежащего демонтажу; ответчик ходатайствует о назначении землеустроительной (строительно-технической) экспертизы для установления границ и наличия наложения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Судебная неустойка завышена.</w:t>
      </w:r>
      <w:r>
        <w:rPr>
          <w:rFonts w:ascii="Times New Roman" w:hAnsi="Times New Roman"/>
          <w:b w:val="0"/>
          <w:i w:val="0"/>
          <w:sz w:val="24"/>
        </w:rPr>
        <w:t xml:space="preserve"> Пунктом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Ответчик просит установить разумный срок и размер неустойки.</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Нарушена исключительная подсудность [если применимо].</w:t>
      </w:r>
      <w:r>
        <w:rPr>
          <w:rFonts w:ascii="Times New Roman" w:hAnsi="Times New Roman"/>
          <w:b w:val="0"/>
          <w:i w:val="0"/>
          <w:sz w:val="24"/>
        </w:rPr>
        <w:t xml:space="preserve"> Частью 1 статьи 38 АПК РФ установлено: «Иски о правах на недвижимое имущество предъявляются в арбитражный суд по месту нахождения этого имущества.» Объект расположен по адресу: [адрес], что относится к компетенции Арбитражного суда [наименование]. Согласно пункту 3 части 2 статьи 39 АПК РФ дело передаётся,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304, 308.3 ГК РФ, статьями 38,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об устранении препятствий в пользовании имуществом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землеустроительную экспертизу по вопросу о наличии наложения и местоположении границ.</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Выписки из ЕГРН о границах участков, межевой план, схема расположения объекта.</w:t>
      </w:r>
    </w:p>
    <w:p>
      <w:pPr>
        <w:spacing w:after="40" w:line="276" w:lineRule="auto"/>
        <w:jc w:val="left"/>
      </w:pPr>
      <w:r>
        <w:rPr>
          <w:rFonts w:ascii="Times New Roman" w:hAnsi="Times New Roman"/>
          <w:b w:val="0"/>
          <w:i w:val="0"/>
          <w:sz w:val="24"/>
        </w:rPr>
        <w:t>3. Документы о законности размещения объекта (договор, согласование, сервитут).</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На негаторные требования исковая давность не распространяется (ст. 208 ГК РФ), поэтому заявление о давности здесь бесполезно — сосредоточьтесь на отсутствии нарушения и законности действий ответчика.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