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 / ТСЖ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собственник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помещения в многоквартирном доме]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обязании обеспечить доступ в жилое помещение для проведения ремонта общего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обязании ответчика обеспечить доступ в квартиру по адресу: [адрес] для [осмотра / замены стояков / демонтажа короба] [и о взыскании судебной неустойки].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отказывал в доступе.</w:t>
      </w:r>
      <w:r>
        <w:rPr>
          <w:rFonts w:ascii="Times New Roman" w:hAnsi="Times New Roman"/>
          <w:b w:val="0"/>
          <w:i w:val="0"/>
          <w:sz w:val="24"/>
        </w:rPr>
        <w:t xml:space="preserve"> Ответчик не возражает против проведения необходимых работ и [неоднократно предлагал согласовать дату — переписка от «[дата]»]. Уведомления истца [не поступали ответчику / направлялись по неверному адресу / предлагали время, когда ответчик находился на работе, без возможности согласовать иное]. Подпунктом «е» пункта 34 Правил предоставления коммунальных услуг (утв. постановлением Правительства РФ от 06.05.2011 № 354) установлено, что потребитель обязан «допускать представителей исполнителя (в том числе работников аварийных служб), представителей органов государственного контроля и надзора в занимаемое жилое помещение для осмотра технического и санитарного состояния внутриквартирного оборудования в заранее согласованное с исполнителем в порядке, указанном в пункте 85 настоящих Правил, время, но не чаще 1 раза в 3 месяца, для проверки устранения недостатков предоставления коммунальных услуг и выполнения необходимых ремонтных работ - по мере необходимости, а для ликвидации аварий - в любое время» Срочности, характерной для аварии, нет; время работ подлежит согласованию. Частью 2 статьи 3 Жилищного кодекса Российской Федерации (далее — ЖК РФ) установлено: «Никто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Требуемый объём работ выходит за пределы общего имущества [или необоснован].</w:t>
      </w:r>
      <w:r>
        <w:rPr>
          <w:rFonts w:ascii="Times New Roman" w:hAnsi="Times New Roman"/>
          <w:b w:val="0"/>
          <w:i w:val="0"/>
          <w:sz w:val="24"/>
        </w:rPr>
        <w:t xml:space="preserve"> Пунктом 1 части 1 статьи 36 ЖК РФ «крыши, ограждающие несущие и ненесущие конструкции данного дома, механическое, электрическое, санитарно-техническое и другое оборудование (в том числе конструкции и (или) иное оборудование, предназначенные для обеспечения беспрепятственного доступа инвалидов к помещениям в многоквартирном доме), находящееся в данном доме за пределами или внутри помещений и обслуживающее более одного помещения (за исключением сетей связи,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найма)» — общее имущество включает инженерное оборудование, обслуживающее более одного помещения. Истец требует [демонтировать выполненную ответчиком отделку, кафель, встроенную мебель / заменить участки, относящиеся к внутриквартирной разводке], не обосновав необходимость именно такого объёма. Работы должны выполняться способом, минимально затрагивающим имущество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отделки — за счёт истца.</w:t>
      </w:r>
      <w:r>
        <w:rPr>
          <w:rFonts w:ascii="Times New Roman" w:hAnsi="Times New Roman"/>
          <w:b w:val="0"/>
          <w:i w:val="0"/>
          <w:sz w:val="24"/>
        </w:rPr>
        <w:t xml:space="preserve"> [Короб, закрывающий стояки, выполнен с ревизионным люком, обеспечивающим доступ; демонтаж отделки не требуется.] Если демонтаж необходим, ответчик просит обязать истца восстановить отделку после работ: управляющая организация обязана обеспечивать безопасность имущества физических лиц (подпункт 2 части 1.1 статьи 161 ЖК РФ: «безопасность жизни и здоровья граждан, имущества физических лиц, имущества юридических лиц, государственного и муниципального имущества»).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Аварийной ситуации нет.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необходимость срочного доступа, однако [аварийных заявок от соседей не поступало / протечка устранена «[дата]» без доступа в квартиру ответчика]. Работы носят плановый характер и могут быть выполнены по согласованному графику.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 несоразмерна и преждевременна.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Гражданского кодекса Российской Федерации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Ответчик не уклоняется от исполнения; неустойка, если суд её назначит, должна быть минимальной, а срок исполнения — разумным [не менее __ дней с даты согласования времени].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Акты о недопуске, составленные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3, 36, 161 ЖК РФ, статьёй 308.3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обязании обеспечить доступ [и взыскании судебной неустойки]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удовлетворении иска:] Обязать истца согласовать с ответчиком дату и время доступа не менее чем за [__] дней, ограничить объём работ [описание], возложить на истца восстановление отделки помещения после работ.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Переписка с управляющей организацией о согласовании доступа.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Фотографии короба с ревизионным люком / отделки в зоне работ.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Сведения об отсутствии аварийных заявок [запрос в аварийную службу].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 отказывайте в доступе для ремонта общего имущества — это обязанность собственника. Цель отзыва — согласованное время, разумный объём работ и восстановление отделки за счёт УК.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Акты о «недопуске», составленные без попытки согласовать время, — слабое доказательство уклонения.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