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давностный владелец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собственник (публично-правовое образование)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собственности на недвижимое имущество в силу приобретательной давности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за истцом права собственности на [объект, адрес, кадастровый номер] в силу приобретательной давности.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Владение истца не было добросовестным.</w:t>
      </w:r>
      <w:r>
        <w:rPr>
          <w:rFonts w:ascii="Times New Roman" w:hAnsi="Times New Roman"/>
          <w:b w:val="0"/>
          <w:i w:val="0"/>
          <w:sz w:val="24"/>
        </w:rPr>
        <w:t xml:space="preserve"> Пунктом 1 статьи 234 ГК РФ установлено: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 Истец с самого начала знал, что объект принадлежит [ответчику / иному лицу]: [получил его по договору аренды (безвозмездного пользования) / заключал с ответчиком соглашения об использовании / обращался с просьбой о выкупе]. Владение по договору — это владение не «как своим», и оно не может привести к давностному приобретению.</w:t>
      </w:r>
    </w:p>
    <w:p>
      <w:pPr>
        <w:spacing w:after="120" w:line="276" w:lineRule="auto"/>
        <w:ind w:firstLine="709"/>
        <w:jc w:val="both"/>
      </w:pPr>
      <w:r>
        <w:rPr>
          <w:rFonts w:ascii="Times New Roman" w:hAnsi="Times New Roman"/>
          <w:b/>
          <w:i w:val="0"/>
          <w:sz w:val="24"/>
        </w:rPr>
        <w:t>Срок давностного владения не истёк.</w:t>
      </w:r>
      <w:r>
        <w:rPr>
          <w:rFonts w:ascii="Times New Roman" w:hAnsi="Times New Roman"/>
          <w:b w:val="0"/>
          <w:i w:val="0"/>
          <w:sz w:val="24"/>
        </w:rPr>
        <w:t xml:space="preserve"> Пунктом 4 статьи 234 ГК РФ установлено: «Течение срока приобретательной давности в отношении вещей, находящихся у лица, из владения которого они могли быть истребованы в соответствии со статьями 301 и 305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 Срок приобретательной давности начинает течь лишь после истечения срока исковой давности по виндикации; с учётом этого 18 лет (3 + 15) истекают не ранее «[дата]».</w:t>
      </w:r>
    </w:p>
    <w:p>
      <w:pPr>
        <w:spacing w:after="120" w:line="276" w:lineRule="auto"/>
        <w:ind w:firstLine="709"/>
        <w:jc w:val="both"/>
      </w:pPr>
      <w:r>
        <w:rPr>
          <w:rFonts w:ascii="Times New Roman" w:hAnsi="Times New Roman"/>
          <w:b/>
          <w:i w:val="0"/>
          <w:sz w:val="24"/>
        </w:rPr>
        <w:t>Владение не было открытым и непрерывным.</w:t>
      </w:r>
      <w:r>
        <w:rPr>
          <w:rFonts w:ascii="Times New Roman" w:hAnsi="Times New Roman"/>
          <w:b w:val="0"/>
          <w:i w:val="0"/>
          <w:sz w:val="24"/>
        </w:rPr>
        <w:t xml:space="preserve"> [Ответчик в [__] году требовал освободить объект, выдавал предписания / владение прерывалось: объект занимали третьи лица — документы.]</w:t>
      </w:r>
    </w:p>
    <w:p>
      <w:pPr>
        <w:spacing w:after="120" w:line="276" w:lineRule="auto"/>
        <w:ind w:firstLine="709"/>
        <w:jc w:val="both"/>
      </w:pPr>
      <w:r>
        <w:rPr>
          <w:rFonts w:ascii="Times New Roman" w:hAnsi="Times New Roman"/>
          <w:b/>
          <w:i w:val="0"/>
          <w:sz w:val="24"/>
        </w:rPr>
        <w:t>Присоединение времени владения предшественника не доказано.</w:t>
      </w:r>
      <w:r>
        <w:rPr>
          <w:rFonts w:ascii="Times New Roman" w:hAnsi="Times New Roman"/>
          <w:b w:val="0"/>
          <w:i w:val="0"/>
          <w:sz w:val="24"/>
        </w:rPr>
        <w:t xml:space="preserve"> Пунктом 3 статьи 234 ГК РФ: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 Истец не является правопреемником [наименование] — передача объекта ему не оформлялась.</w:t>
      </w:r>
    </w:p>
    <w:p>
      <w:pPr>
        <w:spacing w:after="120" w:line="276" w:lineRule="auto"/>
        <w:ind w:firstLine="709"/>
        <w:jc w:val="both"/>
      </w:pPr>
      <w:r>
        <w:rPr>
          <w:rFonts w:ascii="Times New Roman" w:hAnsi="Times New Roman"/>
          <w:b/>
          <w:i w:val="0"/>
          <w:sz w:val="24"/>
        </w:rPr>
        <w:t>Собственник не отказывался от имущества.</w:t>
      </w:r>
      <w:r>
        <w:rPr>
          <w:rFonts w:ascii="Times New Roman" w:hAnsi="Times New Roman"/>
          <w:b w:val="0"/>
          <w:i w:val="0"/>
          <w:sz w:val="24"/>
        </w:rPr>
        <w:t xml:space="preserve"> Ответчик [учитывает объект в реестре муниципального имущества, платит налоги, заключал договоры аренды], то есть проявляет интерес к имуществу.</w:t>
      </w:r>
    </w:p>
    <w:p>
      <w:pPr>
        <w:spacing w:after="120" w:line="276" w:lineRule="auto"/>
        <w:ind w:firstLine="709"/>
        <w:jc w:val="both"/>
      </w:pPr>
      <w:r>
        <w:rPr>
          <w:rFonts w:ascii="Times New Roman" w:hAnsi="Times New Roman"/>
          <w:b/>
          <w:i w:val="0"/>
          <w:sz w:val="24"/>
        </w:rPr>
        <w:t>Давностный владелец защищён лишь от третьих лиц, но не от собственника.</w:t>
      </w:r>
      <w:r>
        <w:rPr>
          <w:rFonts w:ascii="Times New Roman" w:hAnsi="Times New Roman"/>
          <w:b w:val="0"/>
          <w:i w:val="0"/>
          <w:sz w:val="24"/>
        </w:rPr>
        <w:t xml:space="preserve"> Пунктом 2 статьи 234 ГК РФ установлено: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 Ответчик — собственник объекта, и владение истца не может быть противопоставлено его правам.</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Согласно части 8 статьи 75 АПК РФ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 Представленные истцом документы о «давностном» владении (счета за коммунальные услуги, договоры с подрядчиками, фотографии) [представлены в незаверенных копиях / не подписаны уполномоченным лицом / противоречат друг другу: указать, какой документ и чем он плох]. В силу части 6 статьи 71 АПК РФ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Ответчик просит обязать истца представить подлинники для обозрения в заседании.</w:t>
      </w:r>
    </w:p>
    <w:p>
      <w:pPr>
        <w:spacing w:after="120" w:line="276" w:lineRule="auto"/>
        <w:ind w:firstLine="709"/>
        <w:jc w:val="both"/>
      </w:pPr>
      <w:r>
        <w:rPr>
          <w:rFonts w:ascii="Times New Roman" w:hAnsi="Times New Roman"/>
          <w:b/>
          <w:i w:val="0"/>
          <w:sz w:val="24"/>
        </w:rPr>
        <w:t>Нарушена исключительная подсудность [если применимо].</w:t>
      </w:r>
      <w:r>
        <w:rPr>
          <w:rFonts w:ascii="Times New Roman" w:hAnsi="Times New Roman"/>
          <w:b w:val="0"/>
          <w:i w:val="0"/>
          <w:sz w:val="24"/>
        </w:rPr>
        <w:t xml:space="preserve"> Частью 1 статьи 38 АПК РФ установлено: «Иски о правах на недвижимое имущество предъявляются в арбитражный суд по месту нахождения этого имущества.» Объект расположен по адресу: [адрес], что относится к компетенции Арбитражного суда [наименование]. Согласно пункту 3 части 2 статьи 39 АПК РФ дело передаётся,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234 ГК РФ,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права собственности в силу приобретательной давности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праве ответчика на объект (выписка из реестра, ЕГРН).</w:t>
      </w:r>
    </w:p>
    <w:p>
      <w:pPr>
        <w:spacing w:after="40" w:line="276" w:lineRule="auto"/>
        <w:jc w:val="left"/>
      </w:pPr>
      <w:r>
        <w:rPr>
          <w:rFonts w:ascii="Times New Roman" w:hAnsi="Times New Roman"/>
          <w:b w:val="0"/>
          <w:i w:val="0"/>
          <w:sz w:val="24"/>
        </w:rPr>
        <w:t>3. Договоры аренды (безвозмездного пользования) с истцом, переписка о выкупе.</w:t>
      </w:r>
    </w:p>
    <w:p>
      <w:pPr>
        <w:spacing w:after="40" w:line="276" w:lineRule="auto"/>
        <w:jc w:val="left"/>
      </w:pPr>
      <w:r>
        <w:rPr>
          <w:rFonts w:ascii="Times New Roman" w:hAnsi="Times New Roman"/>
          <w:b w:val="0"/>
          <w:i w:val="0"/>
          <w:sz w:val="24"/>
        </w:rPr>
        <w:t>4. Документы о требованиях ответчика освободить объект, о несении бремени содержания.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Владение по договору (аренда, ссуда) исключает приобретательную давность, поскольку владелец знает о праве собственника. Это самый частый и сильный довод ответчика.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